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480" w:rsidRPr="00BC35A3" w:rsidRDefault="007E55A2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  <w:r w:rsidRPr="007E55A2">
        <w:rPr>
          <w:rFonts w:ascii="Dubai" w:hAnsi="Dubai" w:cs="Dubai"/>
          <w:b/>
          <w:bCs/>
          <w:noProof/>
          <w:sz w:val="32"/>
          <w:szCs w:val="32"/>
        </w:rPr>
        <w:tab/>
      </w:r>
      <w:r w:rsidRPr="007E55A2">
        <w:rPr>
          <w:rFonts w:ascii="Dubai" w:hAnsi="Dubai" w:cs="Dubai"/>
          <w:b/>
          <w:bCs/>
          <w:noProof/>
          <w:sz w:val="32"/>
          <w:szCs w:val="32"/>
          <w:rtl/>
        </w:rPr>
        <w:t xml:space="preserve"> </w:t>
      </w:r>
      <w:r w:rsidR="00A95766" w:rsidRPr="00BC35A3"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7215" behindDoc="1" locked="0" layoutInCell="1" allowOverlap="1" wp14:anchorId="5FEF2105" wp14:editId="73D2AB55">
            <wp:simplePos x="0" y="0"/>
            <wp:positionH relativeFrom="margin">
              <wp:posOffset>-1085653</wp:posOffset>
            </wp:positionH>
            <wp:positionV relativeFrom="paragraph">
              <wp:posOffset>-2035372</wp:posOffset>
            </wp:positionV>
            <wp:extent cx="8267426" cy="11685663"/>
            <wp:effectExtent l="0" t="0" r="635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tion Portrait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426" cy="1168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72" w:rsidRPr="00BC35A3">
        <w:rPr>
          <w:rFonts w:ascii="Dubai" w:hAnsi="Dubai" w:cs="Dubai"/>
          <w:b/>
          <w:bCs/>
          <w:noProof/>
          <w:sz w:val="32"/>
          <w:szCs w:val="32"/>
        </w:rPr>
        <w:t xml:space="preserve">                                                                                       </w:t>
      </w: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WinSoft Pro" w:hAnsi="WinSoft Pro" w:cs="WinSoft Pro"/>
          <w:b/>
          <w:bCs/>
          <w:color w:val="C00000"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rPr>
          <w:rFonts w:ascii="Dubai" w:hAnsi="Dubai" w:cs="Dubai"/>
          <w:b/>
          <w:bCs/>
          <w:color w:val="C00000"/>
          <w:sz w:val="44"/>
          <w:szCs w:val="44"/>
          <w:rtl/>
          <w:lang w:bidi="ar-AE"/>
        </w:rPr>
      </w:pPr>
    </w:p>
    <w:p w:rsidR="00A95766" w:rsidRPr="00BC35A3" w:rsidRDefault="00A95766" w:rsidP="002B0480">
      <w:pPr>
        <w:jc w:val="center"/>
        <w:rPr>
          <w:rFonts w:ascii="Dubai" w:hAnsi="Dubai" w:cs="Dubai"/>
          <w:b/>
          <w:bCs/>
          <w:color w:val="C00000"/>
          <w:sz w:val="40"/>
          <w:szCs w:val="40"/>
          <w:rtl/>
        </w:rPr>
      </w:pPr>
    </w:p>
    <w:p w:rsidR="002B0480" w:rsidRPr="00BC35A3" w:rsidRDefault="00A95766" w:rsidP="00CE7A24">
      <w:pPr>
        <w:jc w:val="right"/>
        <w:rPr>
          <w:rFonts w:ascii="Dubai" w:hAnsi="Dubai" w:cs="Dubai"/>
          <w:b/>
          <w:bCs/>
          <w:color w:val="C00000"/>
          <w:sz w:val="72"/>
          <w:szCs w:val="72"/>
          <w:rtl/>
        </w:rPr>
      </w:pPr>
      <w:r w:rsidRPr="00BC35A3">
        <w:rPr>
          <w:rFonts w:ascii="Dubai" w:hAnsi="Dubai" w:cs="Dubai" w:hint="cs"/>
          <w:b/>
          <w:bCs/>
          <w:color w:val="C00000"/>
          <w:sz w:val="72"/>
          <w:szCs w:val="72"/>
          <w:rtl/>
        </w:rPr>
        <w:t xml:space="preserve"> </w:t>
      </w:r>
      <w:r w:rsidR="006B4C2E" w:rsidRPr="001222CB">
        <w:rPr>
          <w:rFonts w:ascii="Dubai" w:hAnsi="Dubai" w:cs="Dubai" w:hint="cs"/>
          <w:b/>
          <w:bCs/>
          <w:color w:val="365F91" w:themeColor="accent1" w:themeShade="BF"/>
          <w:sz w:val="72"/>
          <w:szCs w:val="72"/>
          <w:rtl/>
          <w:lang w:bidi="ar-AE"/>
        </w:rPr>
        <w:t xml:space="preserve">نشرة </w:t>
      </w:r>
      <w:r w:rsidR="00CE7A24">
        <w:rPr>
          <w:rFonts w:ascii="Dubai" w:hAnsi="Dubai" w:cs="Dubai" w:hint="cs"/>
          <w:b/>
          <w:bCs/>
          <w:color w:val="365F91" w:themeColor="accent1" w:themeShade="BF"/>
          <w:sz w:val="72"/>
          <w:szCs w:val="72"/>
          <w:rtl/>
          <w:lang w:bidi="ar-AE"/>
        </w:rPr>
        <w:t>المسح الاقتصادي</w:t>
      </w:r>
      <w:r w:rsidR="006B4C2E" w:rsidRPr="001222CB">
        <w:rPr>
          <w:rFonts w:ascii="Dubai" w:hAnsi="Dubai" w:cs="Dubai"/>
          <w:b/>
          <w:bCs/>
          <w:color w:val="365F91" w:themeColor="accent1" w:themeShade="BF"/>
          <w:sz w:val="72"/>
          <w:szCs w:val="72"/>
          <w:rtl/>
        </w:rPr>
        <w:t xml:space="preserve"> </w:t>
      </w:r>
    </w:p>
    <w:p w:rsidR="00A95766" w:rsidRPr="00BC35A3" w:rsidRDefault="00A95766" w:rsidP="0018092B">
      <w:pPr>
        <w:jc w:val="right"/>
        <w:rPr>
          <w:rFonts w:ascii="Dubai" w:hAnsi="Dubai" w:cs="Dubai"/>
          <w:color w:val="C00000"/>
          <w:sz w:val="44"/>
          <w:szCs w:val="44"/>
          <w:rtl/>
        </w:rPr>
      </w:pPr>
      <w:r w:rsidRPr="00BC35A3">
        <w:rPr>
          <w:rFonts w:ascii="Dubai" w:hAnsi="Dubai" w:cs="Dubai" w:hint="cs"/>
          <w:color w:val="C00000"/>
          <w:sz w:val="44"/>
          <w:szCs w:val="44"/>
          <w:rtl/>
        </w:rPr>
        <w:t xml:space="preserve"> </w:t>
      </w:r>
      <w:r w:rsidRPr="001222CB">
        <w:rPr>
          <w:rFonts w:ascii="Dubai" w:hAnsi="Dubai" w:cs="Dubai" w:hint="cs"/>
          <w:color w:val="365F91" w:themeColor="accent1" w:themeShade="BF"/>
          <w:sz w:val="44"/>
          <w:szCs w:val="44"/>
          <w:rtl/>
        </w:rPr>
        <w:t xml:space="preserve"> </w:t>
      </w:r>
      <w:r w:rsidRPr="001222CB">
        <w:rPr>
          <w:rFonts w:ascii="Dubai" w:hAnsi="Dubai" w:cs="Dubai"/>
          <w:color w:val="365F91" w:themeColor="accent1" w:themeShade="BF"/>
          <w:sz w:val="44"/>
          <w:szCs w:val="44"/>
          <w:rtl/>
        </w:rPr>
        <w:t>إم</w:t>
      </w:r>
      <w:r w:rsidRPr="001222CB">
        <w:rPr>
          <w:rFonts w:ascii="Dubai" w:hAnsi="Dubai" w:cs="Dubai" w:hint="cs"/>
          <w:color w:val="365F91" w:themeColor="accent1" w:themeShade="BF"/>
          <w:sz w:val="44"/>
          <w:szCs w:val="44"/>
          <w:rtl/>
        </w:rPr>
        <w:t>ــــــــــ</w:t>
      </w:r>
      <w:r w:rsidRPr="001222CB">
        <w:rPr>
          <w:rFonts w:ascii="Dubai" w:hAnsi="Dubai" w:cs="Dubai"/>
          <w:color w:val="365F91" w:themeColor="accent1" w:themeShade="BF"/>
          <w:sz w:val="44"/>
          <w:szCs w:val="44"/>
          <w:rtl/>
        </w:rPr>
        <w:t>ارة دب</w:t>
      </w:r>
      <w:r w:rsidRPr="001222CB">
        <w:rPr>
          <w:rFonts w:ascii="Dubai" w:hAnsi="Dubai" w:cs="Dubai" w:hint="cs"/>
          <w:color w:val="365F91" w:themeColor="accent1" w:themeShade="BF"/>
          <w:sz w:val="44"/>
          <w:szCs w:val="44"/>
          <w:rtl/>
        </w:rPr>
        <w:t>ـــــــــ</w:t>
      </w:r>
      <w:r w:rsidRPr="001222CB">
        <w:rPr>
          <w:rFonts w:ascii="Dubai" w:hAnsi="Dubai" w:cs="Dubai"/>
          <w:color w:val="365F91" w:themeColor="accent1" w:themeShade="BF"/>
          <w:sz w:val="44"/>
          <w:szCs w:val="44"/>
          <w:rtl/>
        </w:rPr>
        <w:t>ي</w:t>
      </w:r>
    </w:p>
    <w:p w:rsidR="00A95766" w:rsidRPr="00471199" w:rsidRDefault="00A95766" w:rsidP="006B4C2E">
      <w:pPr>
        <w:jc w:val="right"/>
        <w:rPr>
          <w:rFonts w:ascii="Dubai" w:hAnsi="Dubai" w:cs="Dubai"/>
          <w:b/>
          <w:bCs/>
          <w:color w:val="4F81BD" w:themeColor="accent1"/>
          <w:sz w:val="72"/>
          <w:szCs w:val="72"/>
          <w:rtl/>
        </w:rPr>
      </w:pPr>
      <w:r w:rsidRPr="00471199">
        <w:rPr>
          <w:rFonts w:ascii="Dubai" w:hAnsi="Dubai" w:cs="Dubai" w:hint="cs"/>
          <w:color w:val="4F81BD" w:themeColor="accent1"/>
          <w:sz w:val="48"/>
          <w:szCs w:val="48"/>
          <w:rtl/>
        </w:rPr>
        <w:t xml:space="preserve"> </w:t>
      </w:r>
      <w:r w:rsidRPr="00471199">
        <w:rPr>
          <w:rFonts w:ascii="Dubai" w:hAnsi="Dubai" w:cs="Dubai" w:hint="cs"/>
          <w:b/>
          <w:bCs/>
          <w:color w:val="4F81BD" w:themeColor="accent1"/>
          <w:sz w:val="72"/>
          <w:szCs w:val="72"/>
          <w:rtl/>
        </w:rPr>
        <w:t xml:space="preserve"> </w:t>
      </w:r>
      <w:r w:rsidR="00346D81" w:rsidRPr="00471199">
        <w:rPr>
          <w:rFonts w:ascii="Dubai" w:hAnsi="Dubai" w:cs="Dubai"/>
          <w:color w:val="4F81BD" w:themeColor="accent1"/>
          <w:sz w:val="44"/>
          <w:szCs w:val="44"/>
        </w:rPr>
        <w:t>2018</w:t>
      </w:r>
      <w:r w:rsidRPr="00471199">
        <w:rPr>
          <w:rFonts w:ascii="Dubai" w:hAnsi="Dubai" w:cs="Dubai" w:hint="cs"/>
          <w:b/>
          <w:bCs/>
          <w:color w:val="4F81BD" w:themeColor="accent1"/>
          <w:sz w:val="44"/>
          <w:szCs w:val="44"/>
          <w:rtl/>
        </w:rPr>
        <w:t xml:space="preserve"> </w:t>
      </w:r>
      <w:r w:rsidR="00336B06" w:rsidRPr="00471199">
        <w:rPr>
          <w:rFonts w:ascii="Dubai" w:hAnsi="Dubai" w:cs="Dubai" w:hint="cs"/>
          <w:b/>
          <w:bCs/>
          <w:color w:val="4F81BD" w:themeColor="accent1"/>
          <w:sz w:val="44"/>
          <w:szCs w:val="44"/>
          <w:rtl/>
        </w:rPr>
        <w:t xml:space="preserve"> </w:t>
      </w:r>
    </w:p>
    <w:p w:rsidR="002B0480" w:rsidRPr="00BC35A3" w:rsidRDefault="002B0480" w:rsidP="002B0480">
      <w:pPr>
        <w:jc w:val="center"/>
        <w:rPr>
          <w:rFonts w:ascii="Dubai" w:hAnsi="Dubai" w:cs="Dubai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2B0480" w:rsidRPr="00BC35A3" w:rsidRDefault="002B0480" w:rsidP="002B0480">
      <w:pPr>
        <w:jc w:val="center"/>
        <w:rPr>
          <w:rFonts w:ascii="WinSoft Pro" w:hAnsi="WinSoft Pro" w:cs="WinSoft Pro"/>
          <w:b/>
          <w:bCs/>
          <w:sz w:val="44"/>
          <w:szCs w:val="44"/>
          <w:lang w:bidi="ar-AE"/>
        </w:rPr>
      </w:pPr>
    </w:p>
    <w:p w:rsidR="00652EFE" w:rsidRPr="00BC35A3" w:rsidRDefault="00652EFE" w:rsidP="002B0480">
      <w:pPr>
        <w:jc w:val="center"/>
        <w:rPr>
          <w:rFonts w:ascii="WinSoft Pro" w:hAnsi="WinSoft Pro" w:cs="WinSoft Pro"/>
          <w:b/>
          <w:bCs/>
          <w:sz w:val="44"/>
          <w:szCs w:val="44"/>
          <w:lang w:bidi="ar-AE"/>
        </w:rPr>
      </w:pPr>
    </w:p>
    <w:p w:rsidR="002B0480" w:rsidRPr="00BC35A3" w:rsidRDefault="002B0480" w:rsidP="00AC44F5">
      <w:pPr>
        <w:rPr>
          <w:rFonts w:ascii="WinSoft Pro" w:hAnsi="WinSoft Pro" w:cs="WinSoft Pro"/>
          <w:b/>
          <w:bCs/>
          <w:sz w:val="44"/>
          <w:szCs w:val="44"/>
          <w:rtl/>
          <w:lang w:bidi="ar-AE"/>
        </w:rPr>
      </w:pPr>
    </w:p>
    <w:p w:rsidR="001A7853" w:rsidRPr="001A7853" w:rsidRDefault="001222CB" w:rsidP="0010103A">
      <w:pPr>
        <w:autoSpaceDE w:val="0"/>
        <w:autoSpaceDN w:val="0"/>
        <w:bidi/>
        <w:adjustRightInd w:val="0"/>
        <w:spacing w:line="360" w:lineRule="atLeast"/>
        <w:ind w:firstLine="360"/>
        <w:jc w:val="both"/>
        <w:rPr>
          <w:rFonts w:ascii="Dubai Light" w:hAnsi="Dubai Light" w:cs="Dubai Light"/>
          <w:color w:val="000000"/>
          <w:sz w:val="24"/>
          <w:szCs w:val="24"/>
        </w:rPr>
      </w:pP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lastRenderedPageBreak/>
        <w:t>قام مركز دبي للإحصاء في عام 2018 بتنفيذ المسح الاقتصادي للمنشآت العاملة في إمارة دبي</w:t>
      </w:r>
      <w:r w:rsidRPr="00D876AB">
        <w:rPr>
          <w:rFonts w:ascii="Dubai Light" w:hAnsi="Dubai Light" w:cs="Dubai Light"/>
          <w:color w:val="000000"/>
          <w:sz w:val="24"/>
          <w:szCs w:val="24"/>
        </w:rPr>
        <w:t xml:space="preserve">. 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ويهدف</w:t>
      </w: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t xml:space="preserve"> المسح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>إ</w:t>
      </w:r>
      <w:proofErr w:type="spellStart"/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>لى</w:t>
      </w:r>
      <w:proofErr w:type="spellEnd"/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قياس المؤشرات الاقتصادية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لإ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مارة دبي </w:t>
      </w: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t xml:space="preserve">والتي تساعد في 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>تقدير حجم</w:t>
      </w: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t xml:space="preserve"> الاقتصاد والتعرف على حجم الإنتاج ومساه</w:t>
      </w:r>
      <w:r w:rsidR="00471199">
        <w:rPr>
          <w:rFonts w:ascii="Dubai Light" w:hAnsi="Dubai Light" w:cs="Dubai Light"/>
          <w:color w:val="000000"/>
          <w:sz w:val="24"/>
          <w:szCs w:val="24"/>
          <w:rtl/>
        </w:rPr>
        <w:t>م</w:t>
      </w:r>
      <w:r w:rsidR="00471199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>ة</w:t>
      </w: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t xml:space="preserve"> الأنشطة في الناتج المحل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ي</w:t>
      </w:r>
      <w:r w:rsidRPr="00D876AB">
        <w:rPr>
          <w:rFonts w:ascii="Dubai Light" w:hAnsi="Dubai Light" w:cs="Dubai Light"/>
          <w:color w:val="000000"/>
          <w:sz w:val="24"/>
          <w:szCs w:val="24"/>
          <w:rtl/>
        </w:rPr>
        <w:t xml:space="preserve"> الإجمالي لإمارة دبي وحجم العمالة وتعويضاتها والتكوين الرأسمالي، 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ا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ستهدف المسح </w:t>
      </w:r>
      <w:r w:rsidR="00125035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 xml:space="preserve">جميع 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>الأنشطة الاقتصادية</w:t>
      </w:r>
      <w:r w:rsid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ماعدا الأنشطة </w:t>
      </w:r>
      <w:r w:rsidR="002808B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FF7333">
        <w:rPr>
          <w:rFonts w:ascii="Dubai Light" w:hAnsi="Dubai Light" w:cs="Dubai Light" w:hint="cs"/>
          <w:color w:val="000000"/>
          <w:sz w:val="24"/>
          <w:szCs w:val="24"/>
          <w:rtl/>
        </w:rPr>
        <w:t>الاقتصادية التالية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:</w:t>
      </w:r>
      <w:r w:rsidR="00FF733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>(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الزراعة والحراجة وصيد الأسماك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التعدين واستغلال المحاجر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إمدادات الكهرباء والغاز والبخار وتكييف الهواء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إمدادات المياه وأنشطة الصرف وإدارة النفايات ومعالجتها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الأنشطة المالية وأنشطة التأمين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الإدارة العامة والدفاع؛ والضمان الاجتماعي الإلزامي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أنشطة الأُسَر المعيشية التي تستخدم أفراداً؛ وأنشطة الأُسَر المعيشية في إنتاج سلع وخدمات غير مميَّزة لاستعمالها الخاص</w:t>
      </w:r>
      <w:r w:rsidR="001A7853" w:rsidRPr="001A785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،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="001A7853" w:rsidRPr="001A7853">
        <w:rPr>
          <w:rFonts w:ascii="Dubai Light" w:hAnsi="Dubai Light" w:cs="Dubai Light"/>
          <w:color w:val="000000"/>
          <w:sz w:val="24"/>
          <w:szCs w:val="24"/>
          <w:rtl/>
        </w:rPr>
        <w:t>أنشطة المنظمات والهيئات غير الخاضعة للولاية القضائية الوطنية</w:t>
      </w:r>
      <w:r w:rsidR="001A7853">
        <w:rPr>
          <w:rFonts w:ascii="Dubai Light" w:hAnsi="Dubai Light" w:cs="Dubai Light" w:hint="cs"/>
          <w:color w:val="000000"/>
          <w:sz w:val="24"/>
          <w:szCs w:val="24"/>
          <w:rtl/>
        </w:rPr>
        <w:t>)</w:t>
      </w:r>
      <w:r w:rsidR="00125035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. </w:t>
      </w:r>
    </w:p>
    <w:p w:rsidR="00886BF7" w:rsidRPr="00886BF7" w:rsidRDefault="00886BF7" w:rsidP="00886BF7">
      <w:pPr>
        <w:numPr>
          <w:ilvl w:val="0"/>
          <w:numId w:val="8"/>
        </w:numPr>
        <w:autoSpaceDE w:val="0"/>
        <w:autoSpaceDN w:val="0"/>
        <w:bidi/>
        <w:adjustRightInd w:val="0"/>
        <w:spacing w:after="160"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  <w:r w:rsidRPr="00886BF7">
        <w:rPr>
          <w:rFonts w:ascii="Dubai" w:eastAsia="Calibri" w:hAnsi="Dubai" w:cs="Dubai" w:hint="cs"/>
          <w:color w:val="2E74B5"/>
          <w:sz w:val="24"/>
          <w:szCs w:val="24"/>
          <w:rtl/>
        </w:rPr>
        <w:t>القيمة المضافة</w:t>
      </w:r>
    </w:p>
    <w:p w:rsidR="00886BF7" w:rsidRDefault="00886BF7" w:rsidP="0010103A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بلغت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القيمة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المضافة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للأنشطة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التي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شملها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المسح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329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مليار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درهم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>في</w:t>
      </w:r>
      <w:r w:rsidR="00CB1E4E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 xml:space="preserve"> السنة المالية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2017،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حيث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يتضح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ال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جدول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(1)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والشكل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(1) أن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أنشطة 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 xml:space="preserve">تجارة الجملة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والتجزئة و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إصلاح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 xml:space="preserve"> المركبات ذات المحركات والدراجات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النارية جا</w:t>
      </w:r>
      <w:r w:rsidRPr="00886BF7">
        <w:rPr>
          <w:rFonts w:ascii="Dubai Light" w:hAnsi="Dubai Light" w:cs="Dubai Light" w:hint="eastAsia"/>
          <w:color w:val="000000"/>
          <w:sz w:val="24"/>
          <w:szCs w:val="24"/>
          <w:rtl/>
        </w:rPr>
        <w:t>ء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في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الصدارة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حيث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مساهمته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ا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في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القيمة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المضافة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حيث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بلغ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109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مليار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درهم وبنسبة مساهمة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33%من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إجمالي القيمة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المضافة،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واحتلت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أنشطة النقل والتخزين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المركز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الثاني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ب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48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مليار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درهم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وبنسبة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15% من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إجمالي القيمة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المضافة،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بينما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انشطة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الصناعة التحويلية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جاءت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في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المرتبة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الثالثة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ب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39مليار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درهم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وبنسبة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12%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 xml:space="preserve"> كما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>يظهر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/>
          <w:color w:val="000000"/>
          <w:sz w:val="24"/>
          <w:szCs w:val="24"/>
          <w:rtl/>
        </w:rPr>
        <w:t>في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الجدول (1) و</w:t>
      </w:r>
      <w:r w:rsidRPr="00886BF7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886BF7">
        <w:rPr>
          <w:rFonts w:ascii="Dubai Light" w:hAnsi="Dubai Light" w:cs="Dubai Light" w:hint="cs"/>
          <w:color w:val="000000"/>
          <w:sz w:val="24"/>
          <w:szCs w:val="24"/>
          <w:rtl/>
        </w:rPr>
        <w:t>الشكل (1).</w:t>
      </w:r>
    </w:p>
    <w:p w:rsidR="00B21935" w:rsidRPr="004E14B0" w:rsidRDefault="00B21935" w:rsidP="00B21935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8"/>
          <w:szCs w:val="8"/>
        </w:rPr>
      </w:pPr>
    </w:p>
    <w:p w:rsidR="00B21935" w:rsidRPr="00886BF7" w:rsidRDefault="00B21935" w:rsidP="00B21935">
      <w:pPr>
        <w:autoSpaceDE w:val="0"/>
        <w:autoSpaceDN w:val="0"/>
        <w:bidi/>
        <w:adjustRightInd w:val="0"/>
        <w:spacing w:line="360" w:lineRule="atLeast"/>
        <w:jc w:val="center"/>
        <w:rPr>
          <w:rFonts w:ascii="Dubai Light" w:hAnsi="Dubai Light" w:cs="Dubai Light"/>
          <w:color w:val="000000"/>
          <w:sz w:val="24"/>
          <w:szCs w:val="24"/>
          <w:rtl/>
        </w:rPr>
      </w:pPr>
      <w:r w:rsidRPr="00B21935">
        <w:rPr>
          <w:rFonts w:ascii="Dubai" w:eastAsia="Times New Roman" w:hAnsi="Dubai" w:cs="Dubai"/>
          <w:color w:val="0070C0"/>
          <w:rtl/>
        </w:rPr>
        <w:t>الجدول (1) المؤشرات الاقتصادية الرئيسية حسب الأنشطة الاقتصادية</w:t>
      </w:r>
      <w:r w:rsidR="00CB1E4E">
        <w:rPr>
          <w:rFonts w:ascii="Dubai" w:eastAsia="Times New Roman" w:hAnsi="Dubai" w:cs="Dubai" w:hint="cs"/>
          <w:color w:val="0070C0"/>
          <w:rtl/>
        </w:rPr>
        <w:t xml:space="preserve"> </w:t>
      </w:r>
      <w:r w:rsidR="00CB1E4E">
        <w:rPr>
          <w:rFonts w:ascii="Dubai" w:eastAsia="Times New Roman" w:hAnsi="Dubai" w:cs="Dubai"/>
          <w:color w:val="0070C0"/>
          <w:rtl/>
        </w:rPr>
        <w:t>–</w:t>
      </w:r>
      <w:r w:rsidR="00CB1E4E">
        <w:rPr>
          <w:rFonts w:ascii="Dubai" w:eastAsia="Times New Roman" w:hAnsi="Dubai" w:cs="Dubai" w:hint="cs"/>
          <w:color w:val="0070C0"/>
          <w:rtl/>
        </w:rPr>
        <w:t xml:space="preserve"> 2017</w:t>
      </w:r>
    </w:p>
    <w:p w:rsidR="00886BF7" w:rsidRPr="00B21935" w:rsidRDefault="00886BF7" w:rsidP="00886BF7">
      <w:pPr>
        <w:autoSpaceDE w:val="0"/>
        <w:autoSpaceDN w:val="0"/>
        <w:bidi/>
        <w:adjustRightInd w:val="0"/>
        <w:jc w:val="lowKashida"/>
        <w:rPr>
          <w:rFonts w:ascii="Dubai" w:eastAsia="Calibri" w:hAnsi="Dubai" w:cs="Dubai"/>
          <w:sz w:val="6"/>
          <w:szCs w:val="6"/>
          <w:rtl/>
        </w:rPr>
      </w:pPr>
    </w:p>
    <w:tbl>
      <w:tblPr>
        <w:bidiVisual/>
        <w:tblW w:w="10343" w:type="dxa"/>
        <w:jc w:val="center"/>
        <w:tblLook w:val="04A0" w:firstRow="1" w:lastRow="0" w:firstColumn="1" w:lastColumn="0" w:noHBand="0" w:noVBand="1"/>
      </w:tblPr>
      <w:tblGrid>
        <w:gridCol w:w="1924"/>
        <w:gridCol w:w="243"/>
        <w:gridCol w:w="721"/>
        <w:gridCol w:w="1162"/>
        <w:gridCol w:w="37"/>
        <w:gridCol w:w="199"/>
        <w:gridCol w:w="289"/>
        <w:gridCol w:w="645"/>
        <w:gridCol w:w="136"/>
        <w:gridCol w:w="1259"/>
        <w:gridCol w:w="42"/>
        <w:gridCol w:w="1260"/>
        <w:gridCol w:w="1260"/>
        <w:gridCol w:w="1166"/>
      </w:tblGrid>
      <w:tr w:rsidR="00886BF7" w:rsidRPr="00886BF7" w:rsidTr="00125035">
        <w:trPr>
          <w:trHeight w:val="20"/>
          <w:jc w:val="center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4E14B0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8"/>
                <w:szCs w:val="8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886BF7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4"/>
                <w:szCs w:val="14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886BF7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886BF7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4"/>
                <w:szCs w:val="14"/>
              </w:rPr>
            </w:pPr>
          </w:p>
        </w:tc>
        <w:tc>
          <w:tcPr>
            <w:tcW w:w="60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125035" w:rsidRDefault="00886BF7" w:rsidP="00B21935">
            <w:pPr>
              <w:spacing w:line="360" w:lineRule="auto"/>
              <w:rPr>
                <w:rFonts w:ascii="Dubai" w:eastAsia="Times New Roman" w:hAnsi="Dubai" w:cs="Dubai"/>
                <w:sz w:val="10"/>
                <w:szCs w:val="10"/>
              </w:rPr>
            </w:pPr>
            <w:r w:rsidRPr="00886BF7">
              <w:rPr>
                <w:rFonts w:ascii="Dubai" w:eastAsia="Times New Roman" w:hAnsi="Dubai" w:cs="Dubai"/>
                <w:sz w:val="14"/>
                <w:szCs w:val="14"/>
              </w:rPr>
              <w:t>(</w:t>
            </w:r>
            <w:r w:rsidRPr="00886BF7">
              <w:rPr>
                <w:rFonts w:ascii="Dubai" w:eastAsia="Times New Roman" w:hAnsi="Dubai" w:cs="Dubai"/>
                <w:sz w:val="14"/>
                <w:szCs w:val="14"/>
                <w:rtl/>
              </w:rPr>
              <w:t>القيمة بالمليون درهم</w:t>
            </w:r>
            <w:r w:rsidRPr="00886BF7">
              <w:rPr>
                <w:rFonts w:ascii="Dubai" w:eastAsia="Times New Roman" w:hAnsi="Dubai" w:cs="Dubai"/>
                <w:sz w:val="14"/>
                <w:szCs w:val="14"/>
              </w:rPr>
              <w:t>)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2F75B5"/>
            <w:noWrap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</w:rPr>
              <w:t>h</w:t>
            </w: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لنشاط الاقتصادي</w:t>
            </w:r>
          </w:p>
        </w:tc>
        <w:tc>
          <w:tcPr>
            <w:tcW w:w="11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عدد المشتغلين</w:t>
            </w:r>
          </w:p>
        </w:tc>
        <w:tc>
          <w:tcPr>
            <w:tcW w:w="126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تعويضات المشتغلين</w:t>
            </w:r>
          </w:p>
        </w:tc>
        <w:tc>
          <w:tcPr>
            <w:tcW w:w="13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الإنتاج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استهلاك الوسيط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القيمة المضافة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2F75B5"/>
            <w:vAlign w:val="center"/>
            <w:hideMark/>
          </w:tcPr>
          <w:p w:rsidR="00886BF7" w:rsidRPr="00886BF7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</w:pPr>
            <w:r w:rsidRPr="00886BF7">
              <w:rPr>
                <w:rFonts w:ascii="Dubai" w:eastAsia="Times New Roman" w:hAnsi="Dubai" w:cs="Dubai"/>
                <w:b/>
                <w:bCs/>
                <w:color w:val="E8EBF0"/>
                <w:sz w:val="14"/>
                <w:szCs w:val="14"/>
                <w:rtl/>
              </w:rPr>
              <w:t>التكوين الرأسمالي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الصناعة التحويلية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262,959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15,524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135,376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96,803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38,573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6,332.1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التشييد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598,773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18,357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78,199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50,081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28,118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3,507.0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CF0A42">
              <w:rPr>
                <w:rFonts w:ascii="Dubai" w:eastAsia="Times New Roman" w:hAnsi="Dubai" w:cs="Dubai"/>
                <w:sz w:val="14"/>
                <w:szCs w:val="14"/>
                <w:rtl/>
              </w:rPr>
              <w:t>تجارة الجملة والتجزئة؛ إصلاح المركبات ذات المحركات والدراجات النارية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584,105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43,909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169,234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60,604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108,629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12,611.2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النقل والتخزين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283,843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25,712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144,536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96,173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48,363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7,083.9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أنشطة خدمات الإقامة والطعام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211,651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9,443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42,098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22,350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19,748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2,142.0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المعلومات والاتصالات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36,715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7,269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31,498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14,314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17,184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3,107.7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الأنشطة العقارية*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46,344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4,570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34,409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10,748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23,661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10,477.6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الأنشطة المهنية والعلمية والتقنية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94,312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13,979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30,180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12,018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18,162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611.0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أنشطة الخدمات الإدارية وخدمات الدعم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254,232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8,803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23,380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8,545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14,835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2,850.1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التعليم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28,476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2,357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4,479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1,293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3,202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1,733.2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CF0A42">
              <w:rPr>
                <w:rFonts w:ascii="Dubai" w:eastAsia="Times New Roman" w:hAnsi="Dubai" w:cs="Dubai"/>
                <w:sz w:val="14"/>
                <w:szCs w:val="14"/>
                <w:rtl/>
              </w:rPr>
              <w:t>الأنشطة في مجال صحة الإنسان والعمل الاجتماعي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23,262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3,479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8,622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3,986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4,621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360.9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الفنون والترفيه والتسلية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16,183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847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3,254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1,442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1,812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FFFFF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388.4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:rsidR="00886BF7" w:rsidRPr="00B21935" w:rsidRDefault="00886BF7" w:rsidP="00B21935">
            <w:pPr>
              <w:bidi/>
              <w:spacing w:line="360" w:lineRule="auto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أنشطة الخدمات الأخرى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30,641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899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3,406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1,438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1,968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73.1</w:t>
            </w:r>
          </w:p>
        </w:tc>
      </w:tr>
      <w:tr w:rsidR="00886BF7" w:rsidRPr="00886BF7" w:rsidTr="00125035">
        <w:trPr>
          <w:trHeight w:val="20"/>
          <w:jc w:val="center"/>
        </w:trPr>
        <w:tc>
          <w:tcPr>
            <w:tcW w:w="288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vAlign w:val="center"/>
          </w:tcPr>
          <w:p w:rsidR="00886BF7" w:rsidRPr="00B21935" w:rsidRDefault="00886BF7" w:rsidP="00B21935">
            <w:pPr>
              <w:bidi/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  <w:rtl/>
              </w:rPr>
              <w:t>المجموع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  <w:rtl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2,471,496</w:t>
            </w:r>
          </w:p>
        </w:tc>
        <w:tc>
          <w:tcPr>
            <w:tcW w:w="1269" w:type="dxa"/>
            <w:gridSpan w:val="4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155,149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708,670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379,794</w:t>
            </w:r>
          </w:p>
        </w:tc>
        <w:tc>
          <w:tcPr>
            <w:tcW w:w="126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328,875</w:t>
            </w:r>
          </w:p>
        </w:tc>
        <w:tc>
          <w:tcPr>
            <w:tcW w:w="116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7E6E6"/>
            <w:noWrap/>
            <w:vAlign w:val="center"/>
            <w:hideMark/>
          </w:tcPr>
          <w:p w:rsidR="00886BF7" w:rsidRPr="00B21935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6"/>
                <w:szCs w:val="16"/>
              </w:rPr>
            </w:pPr>
            <w:r w:rsidRPr="00B21935">
              <w:rPr>
                <w:rFonts w:ascii="Dubai" w:eastAsia="Times New Roman" w:hAnsi="Dubai" w:cs="Dubai"/>
                <w:sz w:val="16"/>
                <w:szCs w:val="16"/>
              </w:rPr>
              <w:t>51,278</w:t>
            </w:r>
          </w:p>
        </w:tc>
      </w:tr>
      <w:tr w:rsidR="00886BF7" w:rsidRPr="00886BF7" w:rsidTr="00125035">
        <w:trPr>
          <w:gridAfter w:val="4"/>
          <w:wAfter w:w="3728" w:type="dxa"/>
          <w:trHeight w:val="20"/>
          <w:jc w:val="center"/>
        </w:trPr>
        <w:tc>
          <w:tcPr>
            <w:tcW w:w="45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125035" w:rsidRDefault="00886BF7" w:rsidP="00B21935">
            <w:pPr>
              <w:bidi/>
              <w:rPr>
                <w:rFonts w:ascii="Dubai" w:eastAsia="Times New Roman" w:hAnsi="Dubai" w:cs="Dubai"/>
                <w:color w:val="000000"/>
                <w:sz w:val="14"/>
                <w:szCs w:val="14"/>
                <w:rtl/>
              </w:rPr>
            </w:pPr>
            <w:r w:rsidRPr="00125035">
              <w:rPr>
                <w:rFonts w:ascii="Dubai" w:eastAsia="Times New Roman" w:hAnsi="Dubai" w:cs="Dubai"/>
                <w:color w:val="000000"/>
                <w:sz w:val="14"/>
                <w:szCs w:val="14"/>
                <w:rtl/>
              </w:rPr>
              <w:t>المصدر: مركز دبي للإحصاء - المسح الاقتصادي 2018</w:t>
            </w:r>
            <w:r w:rsidRPr="00125035">
              <w:rPr>
                <w:rFonts w:ascii="Dubai" w:eastAsia="Times New Roman" w:hAnsi="Dubai" w:cs="Dubai"/>
                <w:color w:val="000000"/>
                <w:sz w:val="14"/>
                <w:szCs w:val="14"/>
              </w:rPr>
              <w:t>.</w:t>
            </w:r>
          </w:p>
          <w:p w:rsidR="00886BF7" w:rsidRPr="00125035" w:rsidRDefault="00886BF7" w:rsidP="00B21935">
            <w:pPr>
              <w:bidi/>
              <w:rPr>
                <w:rFonts w:ascii="Dubai" w:eastAsia="Times New Roman" w:hAnsi="Dubai" w:cs="Dubai"/>
                <w:color w:val="000000"/>
                <w:sz w:val="14"/>
                <w:szCs w:val="14"/>
                <w:rtl/>
              </w:rPr>
            </w:pPr>
            <w:r w:rsidRPr="00125035">
              <w:rPr>
                <w:rFonts w:ascii="Dubai" w:eastAsia="Times New Roman" w:hAnsi="Dubai" w:cs="Dubai"/>
                <w:color w:val="000000"/>
                <w:sz w:val="14"/>
                <w:szCs w:val="14"/>
                <w:rtl/>
              </w:rPr>
              <w:t>البيانات بدون إضافة الخدمات المصرفية المحتسبة</w:t>
            </w:r>
          </w:p>
          <w:p w:rsidR="00886BF7" w:rsidRPr="00886BF7" w:rsidRDefault="00886BF7" w:rsidP="00B21935">
            <w:pPr>
              <w:bidi/>
              <w:rPr>
                <w:rFonts w:ascii="Dubai" w:eastAsia="Times New Roman" w:hAnsi="Dubai" w:cs="Dubai"/>
                <w:sz w:val="14"/>
                <w:szCs w:val="14"/>
              </w:rPr>
            </w:pPr>
            <w:r w:rsidRPr="00125035">
              <w:rPr>
                <w:rFonts w:ascii="Dubai" w:eastAsia="Times New Roman" w:hAnsi="Dubai" w:cs="Dubai"/>
                <w:color w:val="000000"/>
                <w:sz w:val="14"/>
                <w:szCs w:val="14"/>
                <w:rtl/>
              </w:rPr>
              <w:t>* الأنشطة العقارية لا تتضمن القيمة الإيجابية للبيوت المملوكة من قبل أصحابها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886BF7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4"/>
                <w:szCs w:val="14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BF7" w:rsidRPr="00886BF7" w:rsidRDefault="00886BF7" w:rsidP="00B21935">
            <w:pPr>
              <w:spacing w:line="360" w:lineRule="auto"/>
              <w:jc w:val="center"/>
              <w:rPr>
                <w:rFonts w:ascii="Dubai" w:eastAsia="Times New Roman" w:hAnsi="Dubai" w:cs="Dubai"/>
                <w:sz w:val="14"/>
                <w:szCs w:val="14"/>
              </w:rPr>
            </w:pPr>
          </w:p>
        </w:tc>
      </w:tr>
    </w:tbl>
    <w:p w:rsidR="00886BF7" w:rsidRPr="00B21935" w:rsidRDefault="00886BF7" w:rsidP="00CB1E4E">
      <w:pPr>
        <w:autoSpaceDE w:val="0"/>
        <w:autoSpaceDN w:val="0"/>
        <w:bidi/>
        <w:adjustRightInd w:val="0"/>
        <w:jc w:val="center"/>
        <w:rPr>
          <w:rFonts w:ascii="Dubai" w:eastAsia="Calibri" w:hAnsi="Dubai" w:cs="Dubai"/>
          <w:sz w:val="24"/>
          <w:szCs w:val="24"/>
          <w:rtl/>
        </w:rPr>
      </w:pPr>
      <w:r w:rsidRPr="00B21935">
        <w:rPr>
          <w:rFonts w:ascii="Dubai" w:eastAsia="Calibri" w:hAnsi="Dubai" w:cs="Dubai" w:hint="cs"/>
          <w:color w:val="0070C0"/>
          <w:rtl/>
        </w:rPr>
        <w:lastRenderedPageBreak/>
        <w:t>شكل (</w:t>
      </w:r>
      <w:r w:rsidR="0073634F">
        <w:rPr>
          <w:rFonts w:ascii="Dubai" w:eastAsia="Calibri" w:hAnsi="Dubai" w:cs="Dubai" w:hint="cs"/>
          <w:color w:val="0070C0"/>
          <w:rtl/>
        </w:rPr>
        <w:t>1</w:t>
      </w:r>
      <w:r w:rsidRPr="00B21935">
        <w:rPr>
          <w:rFonts w:ascii="Dubai" w:eastAsia="Calibri" w:hAnsi="Dubai" w:cs="Dubai" w:hint="cs"/>
          <w:color w:val="0070C0"/>
          <w:rtl/>
        </w:rPr>
        <w:t xml:space="preserve">) التوزيع النسبي لمؤشر القيمة الضافة حسب الأنشطة الاقتصادية </w:t>
      </w:r>
      <w:r w:rsidRPr="00B21935">
        <w:rPr>
          <w:rFonts w:ascii="Dubai" w:eastAsia="Calibri" w:hAnsi="Dubai" w:cs="Dubai"/>
          <w:color w:val="0070C0"/>
          <w:rtl/>
        </w:rPr>
        <w:t>–</w:t>
      </w:r>
      <w:r w:rsidRPr="00B21935">
        <w:rPr>
          <w:rFonts w:ascii="Dubai" w:eastAsia="Calibri" w:hAnsi="Dubai" w:cs="Dubai" w:hint="cs"/>
          <w:color w:val="0070C0"/>
          <w:rtl/>
        </w:rPr>
        <w:t xml:space="preserve"> </w:t>
      </w:r>
      <w:r w:rsidR="00CB1E4E">
        <w:rPr>
          <w:rFonts w:ascii="Dubai" w:eastAsia="Calibri" w:hAnsi="Dubai" w:cs="Dubai" w:hint="cs"/>
          <w:color w:val="0070C0"/>
          <w:rtl/>
        </w:rPr>
        <w:t>2017</w:t>
      </w:r>
    </w:p>
    <w:p w:rsidR="00886BF7" w:rsidRPr="00886BF7" w:rsidRDefault="00886BF7" w:rsidP="00886BF7">
      <w:pPr>
        <w:autoSpaceDE w:val="0"/>
        <w:autoSpaceDN w:val="0"/>
        <w:bidi/>
        <w:adjustRightInd w:val="0"/>
        <w:jc w:val="lowKashida"/>
        <w:rPr>
          <w:rFonts w:ascii="Dubai" w:eastAsia="Calibri" w:hAnsi="Dubai" w:cs="Dubai"/>
          <w:rtl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jc w:val="lowKashida"/>
        <w:rPr>
          <w:rFonts w:ascii="Dubai" w:eastAsia="Calibri" w:hAnsi="Dubai" w:cs="Dubai"/>
          <w:rtl/>
        </w:rPr>
      </w:pPr>
    </w:p>
    <w:p w:rsidR="00886BF7" w:rsidRPr="00886BF7" w:rsidRDefault="00886BF7" w:rsidP="00D876AB">
      <w:pPr>
        <w:autoSpaceDE w:val="0"/>
        <w:autoSpaceDN w:val="0"/>
        <w:bidi/>
        <w:adjustRightInd w:val="0"/>
        <w:jc w:val="center"/>
        <w:rPr>
          <w:rFonts w:ascii="Dubai" w:eastAsia="Calibri" w:hAnsi="Dubai" w:cs="Dubai"/>
          <w:rtl/>
        </w:rPr>
      </w:pPr>
      <w:r w:rsidRPr="00886BF7">
        <w:rPr>
          <w:rFonts w:eastAsia="Calibri" w:cs="Arial"/>
          <w:noProof/>
        </w:rPr>
        <w:drawing>
          <wp:inline distT="0" distB="0" distL="0" distR="0" wp14:anchorId="6F605791" wp14:editId="5E0C47CA">
            <wp:extent cx="5895975" cy="274320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8"/>
          <w:szCs w:val="28"/>
          <w:rtl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rPr>
          <w:rFonts w:ascii="Dubai" w:eastAsia="Calibri" w:hAnsi="Dubai" w:cs="Dubai"/>
          <w:color w:val="2E74B5"/>
          <w:sz w:val="28"/>
          <w:szCs w:val="28"/>
        </w:rPr>
      </w:pPr>
    </w:p>
    <w:p w:rsidR="00886BF7" w:rsidRPr="00886BF7" w:rsidRDefault="00886BF7" w:rsidP="00886BF7">
      <w:pPr>
        <w:numPr>
          <w:ilvl w:val="0"/>
          <w:numId w:val="8"/>
        </w:numPr>
        <w:autoSpaceDE w:val="0"/>
        <w:autoSpaceDN w:val="0"/>
        <w:bidi/>
        <w:adjustRightInd w:val="0"/>
        <w:spacing w:after="160"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  <w:r w:rsidRPr="00886BF7">
        <w:rPr>
          <w:rFonts w:ascii="Dubai" w:eastAsia="Calibri" w:hAnsi="Dubai" w:cs="Dubai"/>
          <w:color w:val="2E74B5"/>
          <w:sz w:val="24"/>
          <w:szCs w:val="24"/>
          <w:rtl/>
        </w:rPr>
        <w:t>حجم</w:t>
      </w:r>
      <w:r w:rsidRPr="00886BF7">
        <w:rPr>
          <w:rFonts w:ascii="Dubai" w:eastAsia="Calibri" w:hAnsi="Dubai" w:cs="Dubai"/>
          <w:color w:val="2E74B5"/>
          <w:sz w:val="24"/>
          <w:szCs w:val="24"/>
        </w:rPr>
        <w:t xml:space="preserve"> </w:t>
      </w:r>
      <w:r w:rsidRPr="00886BF7">
        <w:rPr>
          <w:rFonts w:ascii="Dubai" w:eastAsia="Calibri" w:hAnsi="Dubai" w:cs="Dubai"/>
          <w:color w:val="2E74B5"/>
          <w:sz w:val="24"/>
          <w:szCs w:val="24"/>
          <w:rtl/>
        </w:rPr>
        <w:t xml:space="preserve">الإنتاج </w:t>
      </w:r>
      <w:r w:rsidRPr="00886BF7">
        <w:rPr>
          <w:rFonts w:ascii="Dubai" w:eastAsia="Calibri" w:hAnsi="Dubai" w:cs="Dubai" w:hint="cs"/>
          <w:color w:val="2E74B5"/>
          <w:sz w:val="24"/>
          <w:szCs w:val="24"/>
          <w:rtl/>
        </w:rPr>
        <w:t>(الإنتاج الكلي)</w:t>
      </w:r>
      <w:r w:rsidRPr="00AF4150">
        <w:rPr>
          <w:rFonts w:ascii="Dubai" w:eastAsia="Calibri" w:hAnsi="Dubai" w:cs="Dubai"/>
          <w:color w:val="2E74B5"/>
          <w:sz w:val="24"/>
          <w:szCs w:val="24"/>
          <w:rtl/>
        </w:rPr>
        <w:t xml:space="preserve"> </w:t>
      </w:r>
    </w:p>
    <w:p w:rsidR="00886BF7" w:rsidRDefault="00886BF7" w:rsidP="0010103A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أظهرت نتائج المسح أن الإنتاج الكلى في الأنشطة </w:t>
      </w:r>
      <w:r w:rsidR="0069655A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الاقتصادية قد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بلغ 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709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درهم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في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السنة المالية 2017،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قد تصدرت أنشطة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69655A" w:rsidRPr="0069655A">
        <w:rPr>
          <w:rFonts w:ascii="Dubai Light" w:hAnsi="Dubai Light" w:cs="Dubai Light"/>
          <w:color w:val="000000"/>
          <w:sz w:val="24"/>
          <w:szCs w:val="24"/>
          <w:rtl/>
        </w:rPr>
        <w:t>تجارة الجملة والتجزئة</w:t>
      </w:r>
      <w:r w:rsidR="00FF733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</w:t>
      </w:r>
      <w:r w:rsidR="0069655A" w:rsidRPr="0069655A">
        <w:rPr>
          <w:rFonts w:ascii="Dubai Light" w:hAnsi="Dubai Light" w:cs="Dubai Light"/>
          <w:color w:val="000000"/>
          <w:sz w:val="24"/>
          <w:szCs w:val="24"/>
          <w:rtl/>
        </w:rPr>
        <w:t>إصلاح المركبات ذات المحركات والدراجات النارية</w:t>
      </w:r>
      <w:r w:rsidR="0069655A" w:rsidRPr="0069655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كافة الأنشطة الاقتصادية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69655A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 xml:space="preserve">المستهدفة في المسح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من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حيث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ال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إنتاج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فقد بلغ انتاجها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169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درهم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بنسبة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مساهمة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24%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من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إجمالي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الإنتاج،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واحتلت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انشطة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النقل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والتخزين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المرتبة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الثانية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145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بنسبة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20%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من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إجمالي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الإنتاج،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ويأتي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في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المرتبة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الثالثة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أنشطة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الصناعة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التحويلية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بحجم انتاج 135 مليار درهم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وبنسبة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مساهمة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19%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من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إجمالي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الإنتاج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.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كما يظهر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جدول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(1)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والشكل (</w:t>
      </w:r>
      <w:r w:rsidR="0073634F">
        <w:rPr>
          <w:rFonts w:ascii="Dubai Light" w:hAnsi="Dubai Light" w:cs="Dubai Light" w:hint="cs"/>
          <w:color w:val="000000"/>
          <w:sz w:val="24"/>
          <w:szCs w:val="24"/>
          <w:rtl/>
        </w:rPr>
        <w:t>2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)</w:t>
      </w:r>
      <w:r w:rsidR="00352876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(3)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.</w:t>
      </w:r>
    </w:p>
    <w:p w:rsidR="00352876" w:rsidRDefault="00352876" w:rsidP="00352876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</w:p>
    <w:p w:rsidR="00352876" w:rsidRPr="00352876" w:rsidRDefault="00352876" w:rsidP="00CB1E4E">
      <w:pPr>
        <w:autoSpaceDE w:val="0"/>
        <w:autoSpaceDN w:val="0"/>
        <w:bidi/>
        <w:adjustRightInd w:val="0"/>
        <w:spacing w:line="360" w:lineRule="atLeast"/>
        <w:jc w:val="center"/>
        <w:rPr>
          <w:rFonts w:ascii="Dubai Light" w:hAnsi="Dubai Light" w:cs="Dubai Light"/>
          <w:b/>
          <w:bCs/>
          <w:color w:val="0070C0"/>
          <w:sz w:val="24"/>
          <w:szCs w:val="24"/>
          <w:rtl/>
          <w:lang w:bidi="ar-AE"/>
        </w:rPr>
      </w:pPr>
      <w:r w:rsidRPr="00352876">
        <w:rPr>
          <w:rFonts w:ascii="Dubai Light" w:hAnsi="Dubai Light" w:cs="Dubai Light" w:hint="cs"/>
          <w:b/>
          <w:bCs/>
          <w:color w:val="0070C0"/>
          <w:sz w:val="24"/>
          <w:szCs w:val="24"/>
          <w:rtl/>
          <w:lang w:bidi="ar-AE"/>
        </w:rPr>
        <w:t xml:space="preserve">الشكل (2) مؤشر الإنتاج حسب الأنشطة الاقتصادية </w:t>
      </w:r>
      <w:r w:rsidRPr="00352876">
        <w:rPr>
          <w:rFonts w:ascii="Dubai Light" w:hAnsi="Dubai Light" w:cs="Dubai Light"/>
          <w:b/>
          <w:bCs/>
          <w:color w:val="0070C0"/>
          <w:sz w:val="24"/>
          <w:szCs w:val="24"/>
          <w:rtl/>
          <w:lang w:bidi="ar-AE"/>
        </w:rPr>
        <w:t>–</w:t>
      </w:r>
      <w:r w:rsidRPr="00352876">
        <w:rPr>
          <w:rFonts w:ascii="Dubai Light" w:hAnsi="Dubai Light" w:cs="Dubai Light" w:hint="cs"/>
          <w:b/>
          <w:bCs/>
          <w:color w:val="0070C0"/>
          <w:sz w:val="24"/>
          <w:szCs w:val="24"/>
          <w:rtl/>
          <w:lang w:bidi="ar-AE"/>
        </w:rPr>
        <w:t xml:space="preserve"> </w:t>
      </w:r>
      <w:r w:rsidR="00CB1E4E">
        <w:rPr>
          <w:rFonts w:ascii="Dubai Light" w:hAnsi="Dubai Light" w:cs="Dubai Light" w:hint="cs"/>
          <w:b/>
          <w:bCs/>
          <w:color w:val="0070C0"/>
          <w:sz w:val="24"/>
          <w:szCs w:val="24"/>
          <w:rtl/>
          <w:lang w:bidi="ar-AE"/>
        </w:rPr>
        <w:t>2017</w:t>
      </w:r>
    </w:p>
    <w:p w:rsidR="00352876" w:rsidRDefault="00352876" w:rsidP="00352876">
      <w:pPr>
        <w:autoSpaceDE w:val="0"/>
        <w:autoSpaceDN w:val="0"/>
        <w:bidi/>
        <w:adjustRightInd w:val="0"/>
        <w:spacing w:line="360" w:lineRule="atLeast"/>
        <w:jc w:val="center"/>
        <w:rPr>
          <w:rFonts w:ascii="Dubai Light" w:hAnsi="Dubai Light" w:cs="Dubai Light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570282" wp14:editId="4B2D8341">
            <wp:extent cx="5405120" cy="2600325"/>
            <wp:effectExtent l="0" t="0" r="508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3EFA" w:rsidRPr="00AF4150" w:rsidRDefault="00583EFA" w:rsidP="00583EFA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</w:p>
    <w:p w:rsidR="00886BF7" w:rsidRPr="00B21935" w:rsidRDefault="00886BF7" w:rsidP="00CB1E4E">
      <w:pPr>
        <w:autoSpaceDE w:val="0"/>
        <w:autoSpaceDN w:val="0"/>
        <w:bidi/>
        <w:adjustRightInd w:val="0"/>
        <w:spacing w:line="276" w:lineRule="auto"/>
        <w:contextualSpacing/>
        <w:jc w:val="center"/>
        <w:rPr>
          <w:rFonts w:ascii="Dubai" w:eastAsia="Calibri" w:hAnsi="Dubai" w:cs="Dubai"/>
          <w:color w:val="0070C0"/>
          <w:sz w:val="32"/>
          <w:szCs w:val="32"/>
        </w:rPr>
      </w:pPr>
      <w:r w:rsidRPr="00B21935">
        <w:rPr>
          <w:rFonts w:ascii="Dubai" w:eastAsia="Calibri" w:hAnsi="Dubai" w:cs="Dubai" w:hint="cs"/>
          <w:color w:val="0070C0"/>
          <w:rtl/>
        </w:rPr>
        <w:t>الشكل (</w:t>
      </w:r>
      <w:r w:rsidR="00352876">
        <w:rPr>
          <w:rFonts w:ascii="Dubai" w:eastAsia="Calibri" w:hAnsi="Dubai" w:cs="Dubai" w:hint="cs"/>
          <w:color w:val="0070C0"/>
          <w:rtl/>
        </w:rPr>
        <w:t>3</w:t>
      </w:r>
      <w:r w:rsidRPr="00B21935">
        <w:rPr>
          <w:rFonts w:ascii="Dubai" w:eastAsia="Calibri" w:hAnsi="Dubai" w:cs="Dubai" w:hint="cs"/>
          <w:color w:val="0070C0"/>
          <w:rtl/>
        </w:rPr>
        <w:t>) التوزيع النسبي لمؤشر الإنتاج</w:t>
      </w:r>
      <w:r w:rsidRPr="00B21935">
        <w:rPr>
          <w:rFonts w:ascii="Dubai" w:eastAsia="Calibri" w:hAnsi="Dubai" w:cs="Dubai"/>
          <w:color w:val="0070C0"/>
        </w:rPr>
        <w:t xml:space="preserve"> 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حسب الأنشطة الاقتصادية </w:t>
      </w:r>
      <w:r w:rsidRPr="00B21935">
        <w:rPr>
          <w:rFonts w:ascii="Dubai" w:eastAsia="Calibri" w:hAnsi="Dubai" w:cs="Dubai"/>
          <w:color w:val="0070C0"/>
          <w:rtl/>
          <w:lang w:bidi="ar-AE"/>
        </w:rPr>
        <w:t>–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 </w:t>
      </w:r>
      <w:r w:rsidR="00CB1E4E">
        <w:rPr>
          <w:rFonts w:ascii="Dubai" w:eastAsia="Calibri" w:hAnsi="Dubai" w:cs="Dubai" w:hint="cs"/>
          <w:color w:val="0070C0"/>
          <w:rtl/>
          <w:lang w:bidi="ar-AE"/>
        </w:rPr>
        <w:t>2017</w:t>
      </w:r>
    </w:p>
    <w:p w:rsidR="00886BF7" w:rsidRPr="00886BF7" w:rsidRDefault="00886BF7" w:rsidP="00D876AB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2E74B5"/>
          <w:sz w:val="24"/>
          <w:szCs w:val="24"/>
        </w:rPr>
      </w:pPr>
      <w:r w:rsidRPr="00886BF7">
        <w:rPr>
          <w:rFonts w:eastAsia="Calibri" w:cs="Arial"/>
          <w:noProof/>
        </w:rPr>
        <w:drawing>
          <wp:anchor distT="0" distB="0" distL="114300" distR="114300" simplePos="0" relativeHeight="251659264" behindDoc="0" locked="0" layoutInCell="1" allowOverlap="1" wp14:anchorId="182B02CD" wp14:editId="451733F6">
            <wp:simplePos x="0" y="0"/>
            <wp:positionH relativeFrom="margin">
              <wp:posOffset>349885</wp:posOffset>
            </wp:positionH>
            <wp:positionV relativeFrom="paragraph">
              <wp:posOffset>40640</wp:posOffset>
            </wp:positionV>
            <wp:extent cx="5753100" cy="2495550"/>
            <wp:effectExtent l="0" t="0" r="0" b="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8"/>
          <w:szCs w:val="8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  <w:rtl/>
          <w:lang w:bidi="ar-AE"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  <w:rtl/>
          <w:lang w:bidi="ar-AE"/>
        </w:rPr>
      </w:pPr>
    </w:p>
    <w:p w:rsidR="00886BF7" w:rsidRPr="00886BF7" w:rsidRDefault="00886BF7" w:rsidP="00886BF7">
      <w:pPr>
        <w:numPr>
          <w:ilvl w:val="0"/>
          <w:numId w:val="8"/>
        </w:numPr>
        <w:autoSpaceDE w:val="0"/>
        <w:autoSpaceDN w:val="0"/>
        <w:bidi/>
        <w:adjustRightInd w:val="0"/>
        <w:spacing w:after="160" w:line="276" w:lineRule="auto"/>
        <w:contextualSpacing/>
        <w:rPr>
          <w:rFonts w:ascii="Dubai" w:eastAsia="Calibri" w:hAnsi="Dubai" w:cs="Dubai"/>
          <w:color w:val="2E74B5"/>
          <w:sz w:val="24"/>
          <w:szCs w:val="24"/>
          <w:rtl/>
        </w:rPr>
      </w:pPr>
      <w:r w:rsidRPr="00886BF7">
        <w:rPr>
          <w:rFonts w:ascii="Dubai" w:eastAsia="Calibri" w:hAnsi="Dubai" w:cs="Dubai" w:hint="cs"/>
          <w:color w:val="2E74B5"/>
          <w:sz w:val="24"/>
          <w:szCs w:val="24"/>
          <w:rtl/>
        </w:rPr>
        <w:t>استهلاك الوسيط</w:t>
      </w:r>
    </w:p>
    <w:p w:rsidR="00886BF7" w:rsidRPr="00AF4150" w:rsidRDefault="00886BF7" w:rsidP="0010103A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  <w:rtl/>
        </w:rPr>
      </w:pP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بلغ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69655A"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جمالي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قيمة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مستلزمات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الإنتاج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السلعية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والخدمية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في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الأنشطة الاقتصادية 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380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درهم،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حيث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تمثل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54%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من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إجمالي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الإنتاج.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وقد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بلغ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استهلاك الوسيط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في أنشطة الصناعة التحويلية 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97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درهم،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أي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بنسبة 26% من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جمالي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استهلاك الوسيط،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تلاه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أنشطة النقل والتخزين بقيمة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مستلزمات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مقدارها 96 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درهم وبفارق بسيط عن أنشطة الصناعة التحويلية و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التي كانت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نسبة 26% من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الإجمالي،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ومن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ثم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نشطة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تجارة الجملة والتجزئة</w:t>
      </w:r>
      <w:r w:rsidR="0069655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إصلاح المركبات ذات المحركات والدراجات النارية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بقيمة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مقدارها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61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درهم </w:t>
      </w:r>
      <w:r w:rsidR="0010103A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أي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بنسبة 16%، كما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يظهر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في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الجدول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رقم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(1) والشكل (</w:t>
      </w:r>
      <w:r w:rsidR="00352876">
        <w:rPr>
          <w:rFonts w:ascii="Dubai Light" w:hAnsi="Dubai Light" w:cs="Dubai Light" w:hint="cs"/>
          <w:color w:val="000000"/>
          <w:sz w:val="24"/>
          <w:szCs w:val="24"/>
          <w:rtl/>
        </w:rPr>
        <w:t>4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)</w:t>
      </w:r>
      <w:r w:rsidRPr="00AF4150">
        <w:rPr>
          <w:rFonts w:ascii="Dubai Light" w:hAnsi="Dubai Light" w:cs="Dubai Light"/>
          <w:color w:val="000000"/>
          <w:sz w:val="24"/>
          <w:szCs w:val="24"/>
        </w:rPr>
        <w:t>.</w:t>
      </w: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jc w:val="lowKashida"/>
        <w:rPr>
          <w:rFonts w:ascii="Dubai" w:eastAsia="Calibri" w:hAnsi="Dubai" w:cs="Dubai"/>
          <w:sz w:val="8"/>
          <w:szCs w:val="8"/>
          <w:rtl/>
        </w:rPr>
      </w:pPr>
    </w:p>
    <w:p w:rsidR="00886BF7" w:rsidRPr="00B21935" w:rsidRDefault="00886BF7" w:rsidP="00B21935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sz w:val="14"/>
          <w:szCs w:val="14"/>
        </w:rPr>
      </w:pPr>
    </w:p>
    <w:p w:rsidR="00886BF7" w:rsidRPr="00B21935" w:rsidRDefault="00886BF7" w:rsidP="00CB1E4E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0070C0"/>
          <w:rtl/>
          <w:lang w:bidi="ar-AE"/>
        </w:rPr>
      </w:pPr>
      <w:r w:rsidRPr="00B21935">
        <w:rPr>
          <w:rFonts w:ascii="Dubai" w:eastAsia="Calibri" w:hAnsi="Dubai" w:cs="Dubai" w:hint="cs"/>
          <w:color w:val="0070C0"/>
          <w:rtl/>
        </w:rPr>
        <w:t>الشكل (</w:t>
      </w:r>
      <w:r w:rsidR="00352876">
        <w:rPr>
          <w:rFonts w:ascii="Dubai" w:eastAsia="Calibri" w:hAnsi="Dubai" w:cs="Dubai" w:hint="cs"/>
          <w:color w:val="0070C0"/>
          <w:rtl/>
        </w:rPr>
        <w:t>4</w:t>
      </w:r>
      <w:r w:rsidRPr="00B21935">
        <w:rPr>
          <w:rFonts w:ascii="Dubai" w:eastAsia="Calibri" w:hAnsi="Dubai" w:cs="Dubai" w:hint="cs"/>
          <w:color w:val="0070C0"/>
          <w:rtl/>
        </w:rPr>
        <w:t>) التوزيع النسبي لمؤشر استهلاك الوسيط</w:t>
      </w:r>
      <w:r w:rsidRPr="00B21935">
        <w:rPr>
          <w:rFonts w:ascii="Dubai" w:eastAsia="Calibri" w:hAnsi="Dubai" w:cs="Dubai"/>
          <w:color w:val="0070C0"/>
        </w:rPr>
        <w:t xml:space="preserve"> 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حسب الأنشطة الاقتصادية </w:t>
      </w:r>
      <w:r w:rsidRPr="00B21935">
        <w:rPr>
          <w:rFonts w:ascii="Dubai" w:eastAsia="Calibri" w:hAnsi="Dubai" w:cs="Dubai"/>
          <w:color w:val="0070C0"/>
          <w:rtl/>
          <w:lang w:bidi="ar-AE"/>
        </w:rPr>
        <w:t>–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 </w:t>
      </w:r>
      <w:r w:rsidR="00CB1E4E">
        <w:rPr>
          <w:rFonts w:ascii="Dubai" w:eastAsia="Calibri" w:hAnsi="Dubai" w:cs="Dubai" w:hint="cs"/>
          <w:color w:val="0070C0"/>
          <w:rtl/>
          <w:lang w:bidi="ar-AE"/>
        </w:rPr>
        <w:t>2017</w:t>
      </w:r>
    </w:p>
    <w:p w:rsidR="00886BF7" w:rsidRPr="00886BF7" w:rsidRDefault="00886BF7" w:rsidP="00D876AB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1A1A1A"/>
          <w:rtl/>
        </w:rPr>
      </w:pPr>
      <w:r w:rsidRPr="00886BF7">
        <w:rPr>
          <w:rFonts w:eastAsia="Calibri" w:cs="Arial"/>
          <w:noProof/>
        </w:rPr>
        <w:drawing>
          <wp:inline distT="0" distB="0" distL="0" distR="0" wp14:anchorId="263134C4" wp14:editId="48C21938">
            <wp:extent cx="6127750" cy="321945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6BF7" w:rsidRPr="00886BF7" w:rsidRDefault="00886BF7" w:rsidP="00886BF7">
      <w:pPr>
        <w:autoSpaceDE w:val="0"/>
        <w:autoSpaceDN w:val="0"/>
        <w:bidi/>
        <w:adjustRightInd w:val="0"/>
        <w:rPr>
          <w:rFonts w:ascii="Dubai" w:eastAsia="Calibri" w:hAnsi="Dubai" w:cs="Dubai"/>
          <w:color w:val="2E74B5"/>
          <w:sz w:val="2"/>
          <w:szCs w:val="2"/>
        </w:rPr>
      </w:pPr>
    </w:p>
    <w:p w:rsidR="00B21935" w:rsidRDefault="00B21935" w:rsidP="00B21935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</w:p>
    <w:p w:rsidR="00886BF7" w:rsidRPr="00AF4150" w:rsidRDefault="00886BF7" w:rsidP="00886BF7">
      <w:pPr>
        <w:numPr>
          <w:ilvl w:val="0"/>
          <w:numId w:val="8"/>
        </w:numPr>
        <w:autoSpaceDE w:val="0"/>
        <w:autoSpaceDN w:val="0"/>
        <w:bidi/>
        <w:adjustRightInd w:val="0"/>
        <w:spacing w:after="160"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  <w:r w:rsidRPr="00AF4150">
        <w:rPr>
          <w:rFonts w:ascii="Dubai" w:eastAsia="Calibri" w:hAnsi="Dubai" w:cs="Dubai" w:hint="cs"/>
          <w:color w:val="2E74B5"/>
          <w:sz w:val="24"/>
          <w:szCs w:val="24"/>
          <w:rtl/>
        </w:rPr>
        <w:lastRenderedPageBreak/>
        <w:t>التكوين الرأسمالي</w:t>
      </w:r>
    </w:p>
    <w:p w:rsidR="00886BF7" w:rsidRDefault="00C63632" w:rsidP="00C63632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  <w:r>
        <w:rPr>
          <w:rFonts w:ascii="Dubai Light" w:hAnsi="Dubai Light" w:cs="Dubai Light"/>
          <w:color w:val="000000"/>
          <w:sz w:val="24"/>
          <w:szCs w:val="24"/>
          <w:rtl/>
        </w:rPr>
        <w:t xml:space="preserve">يعد </w:t>
      </w:r>
      <w:r w:rsidR="00296F76">
        <w:rPr>
          <w:rFonts w:ascii="Dubai Light" w:hAnsi="Dubai Light" w:cs="Dubai Light"/>
          <w:color w:val="000000"/>
          <w:sz w:val="24"/>
          <w:szCs w:val="24"/>
          <w:rtl/>
        </w:rPr>
        <w:t xml:space="preserve">تكوين </w:t>
      </w:r>
      <w:r w:rsidR="0043352B">
        <w:rPr>
          <w:rFonts w:ascii="Dubai Light" w:hAnsi="Dubai Light" w:cs="Dubai Light"/>
          <w:color w:val="000000"/>
          <w:sz w:val="24"/>
          <w:szCs w:val="24"/>
          <w:rtl/>
        </w:rPr>
        <w:t>رأس</w:t>
      </w:r>
      <w:r w:rsidR="00296F76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ال</w:t>
      </w:r>
      <w:r w:rsidR="00296F76">
        <w:rPr>
          <w:rFonts w:ascii="Dubai Light" w:hAnsi="Dubai Light" w:cs="Dubai Light"/>
          <w:color w:val="000000"/>
          <w:sz w:val="24"/>
          <w:szCs w:val="24"/>
          <w:rtl/>
        </w:rPr>
        <w:t>مال</w:t>
      </w:r>
      <w:r w:rsidR="00296F76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43352B">
        <w:rPr>
          <w:rFonts w:ascii="Dubai Light" w:hAnsi="Dubai Light" w:cs="Dubai Light"/>
          <w:color w:val="000000"/>
          <w:sz w:val="24"/>
          <w:szCs w:val="24"/>
          <w:rtl/>
        </w:rPr>
        <w:t xml:space="preserve">الثابت المكون الرئيسي </w:t>
      </w:r>
      <w:r w:rsidR="00125035">
        <w:rPr>
          <w:rFonts w:ascii="Dubai Light" w:hAnsi="Dubai Light" w:cs="Dubai Light" w:hint="cs"/>
          <w:color w:val="000000"/>
          <w:sz w:val="24"/>
          <w:szCs w:val="24"/>
          <w:rtl/>
        </w:rPr>
        <w:t>للا</w:t>
      </w:r>
      <w:r w:rsidR="00125035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ستثمار</w:t>
      </w:r>
      <w:r w:rsidR="00886BF7"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في أي كيان اقتصادي، </w:t>
      </w:r>
      <w:r w:rsidR="00296F76">
        <w:rPr>
          <w:rFonts w:ascii="Dubai Light" w:hAnsi="Dubai Light" w:cs="Dubai Light" w:hint="cs"/>
          <w:color w:val="000000"/>
          <w:sz w:val="24"/>
          <w:szCs w:val="24"/>
          <w:rtl/>
        </w:rPr>
        <w:t>وهو</w:t>
      </w:r>
      <w:r w:rsidR="00296F76" w:rsidRPr="00296F76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مجمو</w:t>
      </w:r>
      <w:r w:rsidR="00296F76" w:rsidRPr="00296F76">
        <w:rPr>
          <w:rFonts w:ascii="Dubai Light" w:hAnsi="Dubai Light" w:cs="Dubai Light" w:hint="eastAsia"/>
          <w:color w:val="000000"/>
          <w:sz w:val="24"/>
          <w:szCs w:val="24"/>
          <w:rtl/>
        </w:rPr>
        <w:t>ع</w:t>
      </w:r>
      <w:r w:rsidR="002F60E8">
        <w:rPr>
          <w:rFonts w:ascii="Dubai Light" w:hAnsi="Dubai Light" w:cs="Dubai Light"/>
          <w:color w:val="000000"/>
          <w:sz w:val="24"/>
          <w:szCs w:val="24"/>
          <w:rtl/>
        </w:rPr>
        <w:t xml:space="preserve"> قيم ما يحوزه منتج ما من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>صول ثابتة مخصوما منه ال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 xml:space="preserve">صول الثابتة التي يتخلص منها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 xml:space="preserve">ثناء الفترة المحاسبية </w:t>
      </w:r>
      <w:r w:rsidR="00296F76" w:rsidRPr="00296F76">
        <w:rPr>
          <w:rFonts w:ascii="Dubai Light" w:hAnsi="Dubai Light" w:cs="Dubai Light" w:hint="cs"/>
          <w:color w:val="000000"/>
          <w:sz w:val="24"/>
          <w:szCs w:val="24"/>
          <w:rtl/>
        </w:rPr>
        <w:t>بالإضافة</w:t>
      </w:r>
      <w:r w:rsidR="002F60E8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="002F60E8">
        <w:rPr>
          <w:rFonts w:ascii="Dubai Light" w:hAnsi="Dubai Light" w:cs="Dubai Light"/>
          <w:color w:val="000000"/>
          <w:sz w:val="24"/>
          <w:szCs w:val="24"/>
          <w:rtl/>
        </w:rPr>
        <w:t>لى بعض ال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="002F60E8">
        <w:rPr>
          <w:rFonts w:ascii="Dubai Light" w:hAnsi="Dubai Light" w:cs="Dubai Light"/>
          <w:color w:val="000000"/>
          <w:sz w:val="24"/>
          <w:szCs w:val="24"/>
          <w:rtl/>
        </w:rPr>
        <w:t xml:space="preserve">ضافات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="002F60E8">
        <w:rPr>
          <w:rFonts w:ascii="Dubai Light" w:hAnsi="Dubai Light" w:cs="Dubai Light"/>
          <w:color w:val="000000"/>
          <w:sz w:val="24"/>
          <w:szCs w:val="24"/>
          <w:rtl/>
        </w:rPr>
        <w:t>لى قيمة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>ال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 xml:space="preserve">صول غير المنتجة التي تحدث نتيجة نشاط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>نتاجي لوحدات مؤسسية</w:t>
      </w:r>
      <w:r w:rsidR="00DB0AAF">
        <w:rPr>
          <w:rFonts w:ascii="Dubai Light" w:hAnsi="Dubai Light" w:cs="Dubai Light" w:hint="cs"/>
          <w:color w:val="000000"/>
          <w:sz w:val="24"/>
          <w:szCs w:val="24"/>
          <w:rtl/>
        </w:rPr>
        <w:t>،</w:t>
      </w:r>
      <w:r w:rsidR="00296F76" w:rsidRPr="00296F76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 xml:space="preserve">والأصول الثابتة أصول ملموسة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>و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>غير ملموسة تنتج كمخرجات من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>عمليات إنتاج وتستعمل بصورة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>متكررة أو مستمرة في عمليات</w:t>
      </w:r>
      <w:r w:rsidR="002F60E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ال</w:t>
      </w:r>
      <w:r w:rsidR="002F60E8" w:rsidRPr="002F60E8">
        <w:rPr>
          <w:rFonts w:ascii="Dubai Light" w:hAnsi="Dubai Light" w:cs="Dubai Light"/>
          <w:color w:val="000000"/>
          <w:sz w:val="24"/>
          <w:szCs w:val="24"/>
          <w:rtl/>
        </w:rPr>
        <w:t>إنتاج لمدة تزيد على عام</w:t>
      </w:r>
      <w:r w:rsidR="00886BF7" w:rsidRPr="00AF4150">
        <w:rPr>
          <w:rFonts w:ascii="Dubai Light" w:hAnsi="Dubai Light" w:cs="Dubai Light"/>
          <w:color w:val="000000"/>
          <w:sz w:val="24"/>
          <w:szCs w:val="24"/>
          <w:rtl/>
        </w:rPr>
        <w:t>، وجاءت أنشطة الجملة والتجزئة</w:t>
      </w:r>
      <w:r w:rsidR="00FF7333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886BF7"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وإصلاح المركبات ذات المحركات والدراجات النارية في صدارة الأنشطة الاقتصادية من حيث التكوين الرأسمالي حيث بلغ </w:t>
      </w:r>
      <w:r w:rsidR="00886BF7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13 مليار درهم وتلاه الأنشطة العقارية حيث بلغ 10 مليار درهم و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ا</w:t>
      </w:r>
      <w:r w:rsidR="00886BF7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حتل المرتبة الثالثة أنشطة </w:t>
      </w:r>
      <w:r w:rsidR="00EE69F6">
        <w:rPr>
          <w:rFonts w:ascii="Dubai Light" w:hAnsi="Dubai Light" w:cs="Dubai Light" w:hint="cs"/>
          <w:color w:val="000000"/>
          <w:sz w:val="24"/>
          <w:szCs w:val="24"/>
          <w:rtl/>
          <w:lang w:bidi="ar-AE"/>
        </w:rPr>
        <w:t>النقل والتخزين</w:t>
      </w:r>
      <w:r w:rsidR="00886BF7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بمبلغ </w:t>
      </w:r>
      <w:r w:rsidR="00EE69F6">
        <w:rPr>
          <w:rFonts w:ascii="Dubai Light" w:hAnsi="Dubai Light" w:cs="Dubai Light" w:hint="cs"/>
          <w:color w:val="000000"/>
          <w:sz w:val="24"/>
          <w:szCs w:val="24"/>
          <w:rtl/>
        </w:rPr>
        <w:t>7</w:t>
      </w:r>
      <w:r w:rsidR="00886BF7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مليار درهم كما هو موضح في الجدول(1) والشكل (</w:t>
      </w:r>
      <w:r w:rsidR="00352876">
        <w:rPr>
          <w:rFonts w:ascii="Dubai Light" w:hAnsi="Dubai Light" w:cs="Dubai Light" w:hint="cs"/>
          <w:color w:val="000000"/>
          <w:sz w:val="24"/>
          <w:szCs w:val="24"/>
          <w:rtl/>
        </w:rPr>
        <w:t>5</w:t>
      </w:r>
      <w:r w:rsidR="00886BF7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)</w:t>
      </w:r>
    </w:p>
    <w:p w:rsidR="00583EFA" w:rsidRPr="00EE69F6" w:rsidRDefault="00583EFA" w:rsidP="00583EFA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</w:rPr>
      </w:pPr>
    </w:p>
    <w:p w:rsidR="00D10FE2" w:rsidRPr="00B21935" w:rsidRDefault="00D10FE2" w:rsidP="00D10FE2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  <w:rtl/>
        </w:rPr>
      </w:pPr>
    </w:p>
    <w:p w:rsidR="00886BF7" w:rsidRPr="00886BF7" w:rsidRDefault="00886BF7" w:rsidP="00886BF7">
      <w:pPr>
        <w:autoSpaceDE w:val="0"/>
        <w:autoSpaceDN w:val="0"/>
        <w:bidi/>
        <w:adjustRightInd w:val="0"/>
        <w:spacing w:line="276" w:lineRule="auto"/>
        <w:contextualSpacing/>
        <w:rPr>
          <w:rFonts w:ascii="Dubai" w:eastAsia="Calibri" w:hAnsi="Dubai" w:cs="Dubai"/>
          <w:sz w:val="20"/>
          <w:szCs w:val="20"/>
        </w:rPr>
      </w:pPr>
    </w:p>
    <w:p w:rsidR="00886BF7" w:rsidRDefault="00886BF7" w:rsidP="00CB1E4E">
      <w:pPr>
        <w:autoSpaceDE w:val="0"/>
        <w:autoSpaceDN w:val="0"/>
        <w:bidi/>
        <w:adjustRightInd w:val="0"/>
        <w:spacing w:line="276" w:lineRule="auto"/>
        <w:contextualSpacing/>
        <w:jc w:val="center"/>
        <w:rPr>
          <w:rFonts w:ascii="Dubai" w:eastAsia="Calibri" w:hAnsi="Dubai" w:cs="Dubai"/>
          <w:color w:val="2E74B5"/>
          <w:lang w:bidi="ar-AE"/>
        </w:rPr>
      </w:pPr>
      <w:r w:rsidRPr="00886BF7">
        <w:rPr>
          <w:rFonts w:ascii="Dubai" w:eastAsia="Calibri" w:hAnsi="Dubai" w:cs="Dubai" w:hint="cs"/>
          <w:color w:val="2E74B5"/>
          <w:rtl/>
          <w:lang w:bidi="ar-AE"/>
        </w:rPr>
        <w:t>الشكل (</w:t>
      </w:r>
      <w:r w:rsidR="00352876">
        <w:rPr>
          <w:rFonts w:ascii="Dubai" w:eastAsia="Calibri" w:hAnsi="Dubai" w:cs="Dubai" w:hint="cs"/>
          <w:color w:val="2E74B5"/>
          <w:rtl/>
          <w:lang w:bidi="ar-AE"/>
        </w:rPr>
        <w:t>5</w:t>
      </w:r>
      <w:r w:rsidRPr="00886BF7">
        <w:rPr>
          <w:rFonts w:ascii="Dubai" w:eastAsia="Calibri" w:hAnsi="Dubai" w:cs="Dubai" w:hint="cs"/>
          <w:color w:val="2E74B5"/>
          <w:rtl/>
          <w:lang w:bidi="ar-AE"/>
        </w:rPr>
        <w:t xml:space="preserve">) مؤشر التكوين الرأسمالي حسب الأنشطة الاقتصادية </w:t>
      </w:r>
      <w:r w:rsidRPr="00886BF7">
        <w:rPr>
          <w:rFonts w:ascii="Dubai" w:eastAsia="Calibri" w:hAnsi="Dubai" w:cs="Dubai"/>
          <w:color w:val="2E74B5"/>
          <w:rtl/>
          <w:lang w:bidi="ar-AE"/>
        </w:rPr>
        <w:t>–</w:t>
      </w:r>
      <w:r w:rsidRPr="00886BF7">
        <w:rPr>
          <w:rFonts w:ascii="Dubai" w:eastAsia="Calibri" w:hAnsi="Dubai" w:cs="Dubai" w:hint="cs"/>
          <w:color w:val="2E74B5"/>
          <w:rtl/>
          <w:lang w:bidi="ar-AE"/>
        </w:rPr>
        <w:t xml:space="preserve"> </w:t>
      </w:r>
      <w:r w:rsidR="00CB1E4E">
        <w:rPr>
          <w:rFonts w:ascii="Dubai" w:eastAsia="Calibri" w:hAnsi="Dubai" w:cs="Dubai" w:hint="cs"/>
          <w:color w:val="2E74B5"/>
          <w:rtl/>
          <w:lang w:bidi="ar-AE"/>
        </w:rPr>
        <w:t>2017</w:t>
      </w:r>
    </w:p>
    <w:p w:rsidR="00886BF7" w:rsidRPr="00886BF7" w:rsidRDefault="00886BF7" w:rsidP="00D876AB">
      <w:pPr>
        <w:autoSpaceDE w:val="0"/>
        <w:autoSpaceDN w:val="0"/>
        <w:bidi/>
        <w:adjustRightInd w:val="0"/>
        <w:spacing w:line="276" w:lineRule="auto"/>
        <w:contextualSpacing/>
        <w:jc w:val="center"/>
        <w:rPr>
          <w:rFonts w:ascii="Dubai" w:eastAsia="Calibri" w:hAnsi="Dubai" w:cs="Dubai"/>
          <w:color w:val="2E74B5"/>
          <w:sz w:val="28"/>
          <w:szCs w:val="28"/>
        </w:rPr>
      </w:pPr>
      <w:r w:rsidRPr="00886BF7">
        <w:rPr>
          <w:rFonts w:eastAsia="Calibri" w:cs="Arial"/>
          <w:noProof/>
        </w:rPr>
        <w:drawing>
          <wp:inline distT="0" distB="0" distL="0" distR="0" wp14:anchorId="594E6743" wp14:editId="2FDC6117">
            <wp:extent cx="5972175" cy="267652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6BF7" w:rsidRPr="00AF4150" w:rsidRDefault="00886BF7" w:rsidP="00886BF7">
      <w:pPr>
        <w:numPr>
          <w:ilvl w:val="0"/>
          <w:numId w:val="8"/>
        </w:numPr>
        <w:autoSpaceDE w:val="0"/>
        <w:autoSpaceDN w:val="0"/>
        <w:bidi/>
        <w:adjustRightInd w:val="0"/>
        <w:spacing w:after="160" w:line="276" w:lineRule="auto"/>
        <w:contextualSpacing/>
        <w:rPr>
          <w:rFonts w:ascii="Dubai" w:eastAsia="Calibri" w:hAnsi="Dubai" w:cs="Dubai"/>
          <w:color w:val="2E74B5"/>
          <w:sz w:val="24"/>
          <w:szCs w:val="24"/>
        </w:rPr>
      </w:pPr>
      <w:r w:rsidRPr="00AF4150">
        <w:rPr>
          <w:rFonts w:ascii="Dubai" w:eastAsia="Calibri" w:hAnsi="Dubai" w:cs="Dubai" w:hint="cs"/>
          <w:color w:val="2E74B5"/>
          <w:sz w:val="24"/>
          <w:szCs w:val="24"/>
          <w:rtl/>
        </w:rPr>
        <w:t>عدد المشتغلين والتعويضات</w:t>
      </w:r>
    </w:p>
    <w:p w:rsidR="00886BF7" w:rsidRDefault="00886BF7" w:rsidP="00C63632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  <w:rtl/>
        </w:rPr>
      </w:pP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بلغ إجمالي عدد المشت</w:t>
      </w:r>
      <w:r w:rsidR="00D10FE2">
        <w:rPr>
          <w:rFonts w:ascii="Dubai Light" w:hAnsi="Dubai Light" w:cs="Dubai Light"/>
          <w:color w:val="000000"/>
          <w:sz w:val="24"/>
          <w:szCs w:val="24"/>
          <w:rtl/>
        </w:rPr>
        <w:t>غلين في الأنشطة الاقتصادية 2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>.</w:t>
      </w:r>
      <w:r w:rsidR="00D10FE2">
        <w:rPr>
          <w:rFonts w:ascii="Dubai Light" w:hAnsi="Dubai Light" w:cs="Dubai Light"/>
          <w:color w:val="000000"/>
          <w:sz w:val="24"/>
          <w:szCs w:val="24"/>
          <w:rtl/>
        </w:rPr>
        <w:t>47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مليون </w:t>
      </w:r>
      <w:r w:rsidR="00D10FE2">
        <w:rPr>
          <w:rFonts w:ascii="Dubai Light" w:hAnsi="Dubai Light" w:cs="Dubai Light"/>
          <w:color w:val="000000"/>
          <w:sz w:val="24"/>
          <w:szCs w:val="24"/>
          <w:rtl/>
        </w:rPr>
        <w:t>مشتغل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، وقد تصدر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أنشطة التشييد على باقي الأنشطة من حيث عدد المشتغلين، فقد بلغ عددهم في هذا النشاط 59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>9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ألف </w:t>
      </w:r>
      <w:r w:rsidR="00D10FE2">
        <w:rPr>
          <w:rFonts w:ascii="Dubai Light" w:hAnsi="Dubai Light" w:cs="Dubai Light"/>
          <w:color w:val="000000"/>
          <w:sz w:val="24"/>
          <w:szCs w:val="24"/>
          <w:rtl/>
        </w:rPr>
        <w:t>مشتغل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بنسبة 24% من أجمالي عدد المشتغلين، تلاه 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أ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نشطة تجارة الجملة والتجزئة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إصلاح المركبات ذات المحركات والدراجات النارية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حيث بلغ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عددهم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584 ألف مشتغل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>وب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نسبة 23.6% ثم أنشطة النقل والتخزين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كان عدد المشتغلين 284 ألف مشتغل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بنسبة 12% ثم أنشطة الصناعة التحويلية</w:t>
      </w:r>
      <w:r w:rsidR="00D10FE2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بلغ 263 ألف مشتغل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بنسبة 11%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.</w:t>
      </w:r>
    </w:p>
    <w:p w:rsidR="000434B0" w:rsidRDefault="000434B0" w:rsidP="00C63632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24"/>
          <w:szCs w:val="24"/>
          <w:rtl/>
        </w:rPr>
      </w:pP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كما كان 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إ</w:t>
      </w:r>
      <w:r w:rsidR="00C63632">
        <w:rPr>
          <w:rFonts w:ascii="Dubai Light" w:hAnsi="Dubai Light" w:cs="Dubai Light"/>
          <w:color w:val="000000"/>
          <w:sz w:val="24"/>
          <w:szCs w:val="24"/>
          <w:rtl/>
        </w:rPr>
        <w:t xml:space="preserve">جمالي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تعويضات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المشتغلين 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لجميع الأنشطة الاقتصادية 155 مليار درهم وكان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="00C63632">
        <w:rPr>
          <w:rFonts w:ascii="Dubai Light" w:hAnsi="Dubai Light" w:cs="Dubai Light"/>
          <w:color w:val="000000"/>
          <w:sz w:val="24"/>
          <w:szCs w:val="24"/>
          <w:rtl/>
        </w:rPr>
        <w:t xml:space="preserve"> أعلى 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قيمة 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عويضات من نصيب أنشطة تجارة الجملة والتجزئة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و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إصلاح المركبات ذات المحركات والدراجات النارية ال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>ي بلغ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4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4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مليار درهما، تلاه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ا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أنشطة النقل والتخزين حيث بلغ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26 مليار درهما، وجاء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أنشطة التشييد في الرتبة الثالثة فقد كانت التعويضات في هذا النشاط 18 مليار درهما، تلاه أنشطة الصناعة التحويلية ب 16 مليار درهما وجاء</w:t>
      </w:r>
      <w:r w:rsidR="00C63632">
        <w:rPr>
          <w:rFonts w:ascii="Dubai Light" w:hAnsi="Dubai Light" w:cs="Dubai Light" w:hint="cs"/>
          <w:color w:val="000000"/>
          <w:sz w:val="24"/>
          <w:szCs w:val="24"/>
          <w:rtl/>
        </w:rPr>
        <w:t>ت</w:t>
      </w:r>
      <w:bookmarkStart w:id="0" w:name="_GoBack"/>
      <w:bookmarkEnd w:id="0"/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في المرتبة الخامسة الأنشطة المهنية والعلمية والتقنية حيث بلغت التعويضات 14 مليار</w:t>
      </w:r>
      <w:r w:rsidRPr="00AF4150">
        <w:rPr>
          <w:rFonts w:ascii="Dubai Light" w:hAnsi="Dubai Light" w:cs="Dubai Light"/>
          <w:color w:val="000000"/>
          <w:sz w:val="24"/>
          <w:szCs w:val="24"/>
        </w:rPr>
        <w:t xml:space="preserve"> </w:t>
      </w:r>
      <w:r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درهما.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 كما هو موضح في الجدول (</w:t>
      </w:r>
      <w:r>
        <w:rPr>
          <w:rFonts w:ascii="Dubai Light" w:hAnsi="Dubai Light" w:cs="Dubai Light" w:hint="cs"/>
          <w:color w:val="000000"/>
          <w:sz w:val="24"/>
          <w:szCs w:val="24"/>
          <w:rtl/>
        </w:rPr>
        <w:t>1</w:t>
      </w:r>
      <w:r w:rsidRPr="00AF4150">
        <w:rPr>
          <w:rFonts w:ascii="Dubai Light" w:hAnsi="Dubai Light" w:cs="Dubai Light"/>
          <w:color w:val="000000"/>
          <w:sz w:val="24"/>
          <w:szCs w:val="24"/>
          <w:rtl/>
        </w:rPr>
        <w:t xml:space="preserve">) </w:t>
      </w:r>
      <w:r w:rsidR="00DA0BA8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والشكل</w:t>
      </w:r>
      <w:r w:rsidR="00DA0BA8">
        <w:rPr>
          <w:rFonts w:ascii="Dubai Light" w:hAnsi="Dubai Light" w:cs="Dubai Light" w:hint="cs"/>
          <w:color w:val="000000"/>
          <w:sz w:val="24"/>
          <w:szCs w:val="24"/>
          <w:rtl/>
        </w:rPr>
        <w:t xml:space="preserve"> </w:t>
      </w:r>
      <w:r w:rsidR="00DA0BA8">
        <w:rPr>
          <w:rFonts w:ascii="Dubai Light" w:hAnsi="Dubai Light" w:cs="Dubai Light"/>
          <w:color w:val="000000"/>
          <w:sz w:val="24"/>
          <w:szCs w:val="24"/>
          <w:rtl/>
        </w:rPr>
        <w:t>(</w:t>
      </w:r>
      <w:r w:rsidR="00352876">
        <w:rPr>
          <w:rFonts w:ascii="Dubai Light" w:hAnsi="Dubai Light" w:cs="Dubai Light" w:hint="cs"/>
          <w:color w:val="000000"/>
          <w:sz w:val="24"/>
          <w:szCs w:val="24"/>
          <w:rtl/>
        </w:rPr>
        <w:t>6</w:t>
      </w:r>
      <w:r w:rsidR="00DA0BA8">
        <w:rPr>
          <w:rFonts w:ascii="Dubai Light" w:hAnsi="Dubai Light" w:cs="Dubai Light" w:hint="cs"/>
          <w:color w:val="000000"/>
          <w:sz w:val="24"/>
          <w:szCs w:val="24"/>
          <w:rtl/>
        </w:rPr>
        <w:t>)</w:t>
      </w:r>
      <w:r w:rsidR="00DA0BA8" w:rsidRPr="00AF4150">
        <w:rPr>
          <w:rFonts w:ascii="Dubai Light" w:hAnsi="Dubai Light" w:cs="Dubai Light" w:hint="cs"/>
          <w:color w:val="000000"/>
          <w:sz w:val="24"/>
          <w:szCs w:val="24"/>
          <w:rtl/>
        </w:rPr>
        <w:t>.</w:t>
      </w:r>
    </w:p>
    <w:p w:rsidR="00352876" w:rsidRDefault="00352876" w:rsidP="00352876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6"/>
          <w:szCs w:val="6"/>
          <w:rtl/>
        </w:rPr>
      </w:pPr>
    </w:p>
    <w:p w:rsidR="00352876" w:rsidRPr="00760E76" w:rsidRDefault="00352876" w:rsidP="00352876">
      <w:pPr>
        <w:autoSpaceDE w:val="0"/>
        <w:autoSpaceDN w:val="0"/>
        <w:bidi/>
        <w:adjustRightInd w:val="0"/>
        <w:spacing w:line="360" w:lineRule="atLeast"/>
        <w:jc w:val="both"/>
        <w:rPr>
          <w:rFonts w:ascii="Dubai Light" w:hAnsi="Dubai Light" w:cs="Dubai Light"/>
          <w:color w:val="000000"/>
          <w:sz w:val="6"/>
          <w:szCs w:val="6"/>
          <w:rtl/>
        </w:rPr>
      </w:pPr>
    </w:p>
    <w:p w:rsidR="00760E76" w:rsidRDefault="00760E76" w:rsidP="00D56C7E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0070C0"/>
          <w:rtl/>
          <w:lang w:bidi="ar-AE"/>
        </w:rPr>
      </w:pPr>
      <w:r w:rsidRPr="00B21935">
        <w:rPr>
          <w:rFonts w:ascii="Dubai" w:eastAsia="Calibri" w:hAnsi="Dubai" w:cs="Dubai" w:hint="cs"/>
          <w:color w:val="0070C0"/>
          <w:rtl/>
        </w:rPr>
        <w:t>الشكل (</w:t>
      </w:r>
      <w:r w:rsidR="00352876">
        <w:rPr>
          <w:rFonts w:ascii="Dubai" w:eastAsia="Calibri" w:hAnsi="Dubai" w:cs="Dubai" w:hint="cs"/>
          <w:color w:val="0070C0"/>
          <w:rtl/>
        </w:rPr>
        <w:t>6</w:t>
      </w:r>
      <w:r w:rsidRPr="00B21935">
        <w:rPr>
          <w:rFonts w:ascii="Dubai" w:eastAsia="Calibri" w:hAnsi="Dubai" w:cs="Dubai" w:hint="cs"/>
          <w:color w:val="0070C0"/>
          <w:rtl/>
        </w:rPr>
        <w:t xml:space="preserve">) التوزيع النسبي لمؤشر </w:t>
      </w:r>
      <w:r>
        <w:rPr>
          <w:rFonts w:ascii="Dubai" w:eastAsia="Calibri" w:hAnsi="Dubai" w:cs="Dubai" w:hint="cs"/>
          <w:color w:val="0070C0"/>
          <w:rtl/>
        </w:rPr>
        <w:t>عدد المشتغلين وتعويضا</w:t>
      </w:r>
      <w:r>
        <w:rPr>
          <w:rFonts w:ascii="Dubai" w:eastAsia="Calibri" w:hAnsi="Dubai" w:cs="Dubai" w:hint="eastAsia"/>
          <w:color w:val="0070C0"/>
          <w:rtl/>
        </w:rPr>
        <w:t>ت</w:t>
      </w:r>
      <w:r>
        <w:rPr>
          <w:rFonts w:ascii="Dubai" w:eastAsia="Calibri" w:hAnsi="Dubai" w:cs="Dubai" w:hint="cs"/>
          <w:color w:val="0070C0"/>
          <w:rtl/>
        </w:rPr>
        <w:t xml:space="preserve"> المشتغلين</w:t>
      </w:r>
      <w:r w:rsidRPr="00B21935">
        <w:rPr>
          <w:rFonts w:ascii="Dubai" w:eastAsia="Calibri" w:hAnsi="Dubai" w:cs="Dubai"/>
          <w:color w:val="0070C0"/>
        </w:rPr>
        <w:t xml:space="preserve"> 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حسب الأنشطة الاقتصادية </w:t>
      </w:r>
      <w:r w:rsidRPr="00B21935">
        <w:rPr>
          <w:rFonts w:ascii="Dubai" w:eastAsia="Calibri" w:hAnsi="Dubai" w:cs="Dubai"/>
          <w:color w:val="0070C0"/>
          <w:rtl/>
          <w:lang w:bidi="ar-AE"/>
        </w:rPr>
        <w:t>–</w:t>
      </w:r>
      <w:r w:rsidRPr="00B21935">
        <w:rPr>
          <w:rFonts w:ascii="Dubai" w:eastAsia="Calibri" w:hAnsi="Dubai" w:cs="Dubai" w:hint="cs"/>
          <w:color w:val="0070C0"/>
          <w:rtl/>
          <w:lang w:bidi="ar-AE"/>
        </w:rPr>
        <w:t xml:space="preserve"> </w:t>
      </w:r>
      <w:r w:rsidR="00D56C7E">
        <w:rPr>
          <w:rFonts w:ascii="Dubai" w:eastAsia="Calibri" w:hAnsi="Dubai" w:cs="Dubai" w:hint="cs"/>
          <w:color w:val="0070C0"/>
          <w:rtl/>
          <w:lang w:bidi="ar-AE"/>
        </w:rPr>
        <w:t>2017</w:t>
      </w:r>
    </w:p>
    <w:p w:rsidR="00760E76" w:rsidRDefault="00760E76" w:rsidP="00760E76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0070C0"/>
          <w:rtl/>
          <w:lang w:bidi="ar-AE"/>
        </w:rPr>
      </w:pPr>
      <w:r>
        <w:rPr>
          <w:rFonts w:ascii="Dubai" w:eastAsia="Calibri" w:hAnsi="Dubai" w:cs="Dubai"/>
          <w:noProof/>
          <w:color w:val="0070C0"/>
        </w:rPr>
        <w:drawing>
          <wp:inline distT="0" distB="0" distL="0" distR="0" wp14:anchorId="2AD22D29">
            <wp:extent cx="6400800" cy="2606834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61" cy="261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E76" w:rsidRDefault="00760E76" w:rsidP="00760E76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0070C0"/>
          <w:rtl/>
          <w:lang w:bidi="ar-AE"/>
        </w:rPr>
      </w:pPr>
    </w:p>
    <w:p w:rsidR="00760E76" w:rsidRPr="00B21935" w:rsidRDefault="00760E76" w:rsidP="00760E76">
      <w:pPr>
        <w:autoSpaceDE w:val="0"/>
        <w:autoSpaceDN w:val="0"/>
        <w:bidi/>
        <w:adjustRightInd w:val="0"/>
        <w:spacing w:line="276" w:lineRule="auto"/>
        <w:jc w:val="center"/>
        <w:rPr>
          <w:rFonts w:ascii="Dubai" w:eastAsia="Calibri" w:hAnsi="Dubai" w:cs="Dubai"/>
          <w:color w:val="0070C0"/>
          <w:rtl/>
          <w:lang w:bidi="ar-AE"/>
        </w:rPr>
      </w:pPr>
    </w:p>
    <w:p w:rsidR="00760E76" w:rsidRDefault="00760E76" w:rsidP="00760E76">
      <w:pPr>
        <w:autoSpaceDE w:val="0"/>
        <w:autoSpaceDN w:val="0"/>
        <w:bidi/>
        <w:adjustRightInd w:val="0"/>
        <w:spacing w:line="276" w:lineRule="auto"/>
        <w:contextualSpacing/>
        <w:jc w:val="center"/>
        <w:rPr>
          <w:rFonts w:ascii="Dubai" w:eastAsia="Calibri" w:hAnsi="Dubai" w:cs="Dubai"/>
          <w:color w:val="2E74B5"/>
          <w:sz w:val="28"/>
          <w:szCs w:val="28"/>
          <w:rtl/>
        </w:rPr>
      </w:pPr>
    </w:p>
    <w:sectPr w:rsidR="00760E76" w:rsidSect="000F700F">
      <w:headerReference w:type="default" r:id="rId18"/>
      <w:footerReference w:type="default" r:id="rId19"/>
      <w:pgSz w:w="11907" w:h="16839" w:code="9"/>
      <w:pgMar w:top="1504" w:right="709" w:bottom="90" w:left="709" w:header="397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A61" w:rsidRDefault="00ED0A61" w:rsidP="00635025">
      <w:r>
        <w:separator/>
      </w:r>
    </w:p>
  </w:endnote>
  <w:endnote w:type="continuationSeparator" w:id="0">
    <w:p w:rsidR="00ED0A61" w:rsidRDefault="00ED0A61" w:rsidP="0063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ubai">
    <w:panose1 w:val="020B0503030403030204"/>
    <w:charset w:val="00"/>
    <w:family w:val="swiss"/>
    <w:notTrueType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Soft Pro">
    <w:altName w:val="Arial"/>
    <w:charset w:val="00"/>
    <w:family w:val="auto"/>
    <w:pitch w:val="variable"/>
    <w:sig w:usb0="0000280F" w:usb1="80000000" w:usb2="00000008" w:usb3="00000000" w:csb0="00000063" w:csb1="00000000"/>
  </w:font>
  <w:font w:name="Dubai Light">
    <w:panose1 w:val="020B0303030403030204"/>
    <w:charset w:val="00"/>
    <w:family w:val="swiss"/>
    <w:notTrueType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FA4" w:rsidRDefault="00CD0FA4" w:rsidP="00C078D3">
    <w:pPr>
      <w:pStyle w:val="Footer"/>
      <w:ind w:left="-709" w:firstLine="425"/>
    </w:pPr>
  </w:p>
  <w:p w:rsidR="00CD0FA4" w:rsidRDefault="00C63632" w:rsidP="00C078D3">
    <w:pPr>
      <w:pStyle w:val="Footer"/>
      <w:ind w:left="-709" w:firstLine="425"/>
    </w:pPr>
    <w:sdt>
      <w:sdtPr>
        <w:id w:val="-10409826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D0FA4" w:rsidRPr="00C078D3">
          <w:rPr>
            <w:color w:val="FFFFFF" w:themeColor="background1"/>
          </w:rPr>
          <w:fldChar w:fldCharType="begin"/>
        </w:r>
        <w:r w:rsidR="00CD0FA4" w:rsidRPr="00C078D3">
          <w:rPr>
            <w:color w:val="FFFFFF" w:themeColor="background1"/>
          </w:rPr>
          <w:instrText xml:space="preserve"> PAGE   \* MERGEFORMAT </w:instrText>
        </w:r>
        <w:r w:rsidR="00CD0FA4" w:rsidRPr="00C078D3">
          <w:rPr>
            <w:color w:val="FFFFFF" w:themeColor="background1"/>
          </w:rPr>
          <w:fldChar w:fldCharType="separate"/>
        </w:r>
        <w:r>
          <w:rPr>
            <w:noProof/>
            <w:color w:val="FFFFFF" w:themeColor="background1"/>
          </w:rPr>
          <w:t>6</w:t>
        </w:r>
        <w:r w:rsidR="00CD0FA4" w:rsidRPr="00C078D3">
          <w:rPr>
            <w:noProof/>
            <w:color w:val="FFFFFF" w:themeColor="background1"/>
          </w:rPr>
          <w:fldChar w:fldCharType="end"/>
        </w:r>
      </w:sdtContent>
    </w:sdt>
    <w:r w:rsidR="00CD0FA4">
      <w:rPr>
        <w:noProof/>
      </w:rPr>
      <w:t xml:space="preserve"> </w:t>
    </w:r>
    <w:r w:rsidR="00CD0FA4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-448418</wp:posOffset>
          </wp:positionH>
          <wp:positionV relativeFrom="margin">
            <wp:posOffset>9033366</wp:posOffset>
          </wp:positionV>
          <wp:extent cx="3327999" cy="405442"/>
          <wp:effectExtent l="19050" t="0" r="5751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981"/>
                  <a:stretch>
                    <a:fillRect/>
                  </a:stretch>
                </pic:blipFill>
                <pic:spPr>
                  <a:xfrm>
                    <a:off x="0" y="0"/>
                    <a:ext cx="3327999" cy="405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0FA4" w:rsidRDefault="00CD0FA4" w:rsidP="00C078D3">
    <w:pPr>
      <w:pStyle w:val="Footer"/>
      <w:ind w:left="-709" w:firstLine="4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A61" w:rsidRDefault="00ED0A61" w:rsidP="00635025">
      <w:r>
        <w:separator/>
      </w:r>
    </w:p>
  </w:footnote>
  <w:footnote w:type="continuationSeparator" w:id="0">
    <w:p w:rsidR="00ED0A61" w:rsidRDefault="00ED0A61" w:rsidP="00635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9"/>
      <w:gridCol w:w="5240"/>
    </w:tblGrid>
    <w:tr w:rsidR="00CD0FA4" w:rsidTr="00A95766">
      <w:tc>
        <w:tcPr>
          <w:tcW w:w="5239" w:type="dxa"/>
          <w:vAlign w:val="center"/>
        </w:tcPr>
        <w:p w:rsidR="00CD0FA4" w:rsidRDefault="00CD0FA4" w:rsidP="00A95766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826618" cy="416708"/>
                <wp:effectExtent l="0" t="0" r="0" b="254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4 templete V  Top 2 2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47" t="45978"/>
                        <a:stretch/>
                      </pic:blipFill>
                      <pic:spPr bwMode="auto">
                        <a:xfrm>
                          <a:off x="0" y="0"/>
                          <a:ext cx="837606" cy="4222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</w:tcPr>
        <w:p w:rsidR="00CD0FA4" w:rsidRDefault="00CD0FA4" w:rsidP="00A95766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>
                <wp:extent cx="1745789" cy="409651"/>
                <wp:effectExtent l="0" t="0" r="6985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4 templete V  Top 2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424" r="14150"/>
                        <a:stretch/>
                      </pic:blipFill>
                      <pic:spPr bwMode="auto">
                        <a:xfrm>
                          <a:off x="0" y="0"/>
                          <a:ext cx="1776074" cy="4167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CD0FA4" w:rsidRDefault="00CD0FA4" w:rsidP="003C11E5">
    <w:pPr>
      <w:pStyle w:val="Header"/>
      <w:ind w:hanging="709"/>
      <w:jc w:val="center"/>
    </w:pPr>
  </w:p>
  <w:p w:rsidR="00CD0FA4" w:rsidRDefault="00CD0F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2A98"/>
    <w:multiLevelType w:val="hybridMultilevel"/>
    <w:tmpl w:val="711CD0A0"/>
    <w:lvl w:ilvl="0" w:tplc="6F2EC9C8">
      <w:start w:val="4"/>
      <w:numFmt w:val="bullet"/>
      <w:lvlText w:val="-"/>
      <w:lvlJc w:val="left"/>
      <w:pPr>
        <w:ind w:left="720" w:hanging="360"/>
      </w:pPr>
      <w:rPr>
        <w:rFonts w:ascii="Dubai" w:eastAsiaTheme="minorHAnsi" w:hAnsi="Dubai" w:cs="Duba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44577A4"/>
    <w:multiLevelType w:val="hybridMultilevel"/>
    <w:tmpl w:val="43C650F8"/>
    <w:lvl w:ilvl="0" w:tplc="C98C95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1EAE"/>
    <w:multiLevelType w:val="multilevel"/>
    <w:tmpl w:val="67DE3F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39B5651"/>
    <w:multiLevelType w:val="hybridMultilevel"/>
    <w:tmpl w:val="4B3CCA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C2549"/>
    <w:multiLevelType w:val="hybridMultilevel"/>
    <w:tmpl w:val="44C6B1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949E1"/>
    <w:multiLevelType w:val="hybridMultilevel"/>
    <w:tmpl w:val="1D16277A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489B3526"/>
    <w:multiLevelType w:val="hybridMultilevel"/>
    <w:tmpl w:val="72E42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412A5"/>
    <w:multiLevelType w:val="hybridMultilevel"/>
    <w:tmpl w:val="F5FA1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490F3E"/>
    <w:multiLevelType w:val="hybridMultilevel"/>
    <w:tmpl w:val="D44A9528"/>
    <w:lvl w:ilvl="0" w:tplc="8206B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EA4783"/>
    <w:multiLevelType w:val="hybridMultilevel"/>
    <w:tmpl w:val="DE342504"/>
    <w:lvl w:ilvl="0" w:tplc="BF98C9D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8D3779"/>
    <w:multiLevelType w:val="hybridMultilevel"/>
    <w:tmpl w:val="D756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C5727"/>
    <w:multiLevelType w:val="hybridMultilevel"/>
    <w:tmpl w:val="EE62EEE6"/>
    <w:lvl w:ilvl="0" w:tplc="6F1869C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  <w:color w:val="984806" w:themeColor="accent6" w:themeShade="8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C36C6D"/>
    <w:multiLevelType w:val="hybridMultilevel"/>
    <w:tmpl w:val="E6D0683C"/>
    <w:lvl w:ilvl="0" w:tplc="36641D7E">
      <w:start w:val="1"/>
      <w:numFmt w:val="decimal"/>
      <w:lvlText w:val="(%1)"/>
      <w:lvlJc w:val="left"/>
      <w:pPr>
        <w:tabs>
          <w:tab w:val="num" w:pos="375"/>
        </w:tabs>
        <w:ind w:left="375" w:hanging="360"/>
      </w:pPr>
      <w:rPr>
        <w:rFonts w:hint="default"/>
        <w:b/>
        <w:color w:val="FF0000"/>
        <w:sz w:val="1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13" w15:restartNumberingAfterBreak="0">
    <w:nsid w:val="738A5628"/>
    <w:multiLevelType w:val="hybridMultilevel"/>
    <w:tmpl w:val="EE28234E"/>
    <w:lvl w:ilvl="0" w:tplc="C6507452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A2903"/>
    <w:multiLevelType w:val="hybridMultilevel"/>
    <w:tmpl w:val="C0AC305E"/>
    <w:lvl w:ilvl="0" w:tplc="FDCC0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3"/>
  </w:num>
  <w:num w:numId="5">
    <w:abstractNumId w:val="6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5"/>
  </w:num>
  <w:num w:numId="12">
    <w:abstractNumId w:val="14"/>
  </w:num>
  <w:num w:numId="13">
    <w:abstractNumId w:val="4"/>
  </w:num>
  <w:num w:numId="14">
    <w:abstractNumId w:val="3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4097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025"/>
    <w:rsid w:val="000015F8"/>
    <w:rsid w:val="00020597"/>
    <w:rsid w:val="000206BA"/>
    <w:rsid w:val="000248D8"/>
    <w:rsid w:val="00033396"/>
    <w:rsid w:val="000342A0"/>
    <w:rsid w:val="00034572"/>
    <w:rsid w:val="000434B0"/>
    <w:rsid w:val="00043988"/>
    <w:rsid w:val="000479EF"/>
    <w:rsid w:val="000606CE"/>
    <w:rsid w:val="00066EF6"/>
    <w:rsid w:val="00070933"/>
    <w:rsid w:val="00071982"/>
    <w:rsid w:val="00077C61"/>
    <w:rsid w:val="00081C5D"/>
    <w:rsid w:val="00084EF7"/>
    <w:rsid w:val="0008715C"/>
    <w:rsid w:val="0009311A"/>
    <w:rsid w:val="000933A5"/>
    <w:rsid w:val="00093627"/>
    <w:rsid w:val="000A05B6"/>
    <w:rsid w:val="000A5E6C"/>
    <w:rsid w:val="000B4ED1"/>
    <w:rsid w:val="000B57BA"/>
    <w:rsid w:val="000C0129"/>
    <w:rsid w:val="000C61FB"/>
    <w:rsid w:val="000C7776"/>
    <w:rsid w:val="000D0FB6"/>
    <w:rsid w:val="000D5A35"/>
    <w:rsid w:val="000D785A"/>
    <w:rsid w:val="000E4EB9"/>
    <w:rsid w:val="000F5C01"/>
    <w:rsid w:val="000F700F"/>
    <w:rsid w:val="0010103A"/>
    <w:rsid w:val="00101F60"/>
    <w:rsid w:val="00102841"/>
    <w:rsid w:val="001069BB"/>
    <w:rsid w:val="00106A95"/>
    <w:rsid w:val="00117445"/>
    <w:rsid w:val="001222CB"/>
    <w:rsid w:val="00125035"/>
    <w:rsid w:val="00131266"/>
    <w:rsid w:val="00132769"/>
    <w:rsid w:val="0013542F"/>
    <w:rsid w:val="00144EAF"/>
    <w:rsid w:val="00145647"/>
    <w:rsid w:val="001461CD"/>
    <w:rsid w:val="0015487A"/>
    <w:rsid w:val="00155A38"/>
    <w:rsid w:val="00160DF0"/>
    <w:rsid w:val="00164AA2"/>
    <w:rsid w:val="001657A4"/>
    <w:rsid w:val="00165E2A"/>
    <w:rsid w:val="001733F0"/>
    <w:rsid w:val="00175E35"/>
    <w:rsid w:val="00176C77"/>
    <w:rsid w:val="0018092B"/>
    <w:rsid w:val="00180944"/>
    <w:rsid w:val="001829A1"/>
    <w:rsid w:val="00192CF8"/>
    <w:rsid w:val="00192D93"/>
    <w:rsid w:val="001A75D7"/>
    <w:rsid w:val="001A7853"/>
    <w:rsid w:val="001B0D05"/>
    <w:rsid w:val="001B347E"/>
    <w:rsid w:val="001B596A"/>
    <w:rsid w:val="001B60BB"/>
    <w:rsid w:val="001B7F9B"/>
    <w:rsid w:val="001C0374"/>
    <w:rsid w:val="001C2C15"/>
    <w:rsid w:val="001C31B2"/>
    <w:rsid w:val="001C3ADF"/>
    <w:rsid w:val="001C7189"/>
    <w:rsid w:val="001D15E1"/>
    <w:rsid w:val="001D3901"/>
    <w:rsid w:val="001D3F1A"/>
    <w:rsid w:val="001D6086"/>
    <w:rsid w:val="001D7AE9"/>
    <w:rsid w:val="001E48D9"/>
    <w:rsid w:val="001F1E7F"/>
    <w:rsid w:val="001F44CF"/>
    <w:rsid w:val="001F5B28"/>
    <w:rsid w:val="001F6441"/>
    <w:rsid w:val="001F6F13"/>
    <w:rsid w:val="002164D5"/>
    <w:rsid w:val="00227F4F"/>
    <w:rsid w:val="0023006B"/>
    <w:rsid w:val="0023408B"/>
    <w:rsid w:val="002358A1"/>
    <w:rsid w:val="00235D84"/>
    <w:rsid w:val="00236DA3"/>
    <w:rsid w:val="002453E3"/>
    <w:rsid w:val="00256B59"/>
    <w:rsid w:val="00262FB4"/>
    <w:rsid w:val="00264C6D"/>
    <w:rsid w:val="0026632F"/>
    <w:rsid w:val="0027044F"/>
    <w:rsid w:val="0027171C"/>
    <w:rsid w:val="00271946"/>
    <w:rsid w:val="002808B0"/>
    <w:rsid w:val="00283FD9"/>
    <w:rsid w:val="0028582B"/>
    <w:rsid w:val="00296F76"/>
    <w:rsid w:val="002A48AA"/>
    <w:rsid w:val="002B0480"/>
    <w:rsid w:val="002B629F"/>
    <w:rsid w:val="002D0946"/>
    <w:rsid w:val="002D105B"/>
    <w:rsid w:val="002D5AD4"/>
    <w:rsid w:val="002E6C7F"/>
    <w:rsid w:val="002F1DB1"/>
    <w:rsid w:val="002F60E8"/>
    <w:rsid w:val="00302F70"/>
    <w:rsid w:val="003044F6"/>
    <w:rsid w:val="00304F63"/>
    <w:rsid w:val="00310672"/>
    <w:rsid w:val="00311219"/>
    <w:rsid w:val="00315B83"/>
    <w:rsid w:val="003161EB"/>
    <w:rsid w:val="003166C6"/>
    <w:rsid w:val="00317AD8"/>
    <w:rsid w:val="00324137"/>
    <w:rsid w:val="00325341"/>
    <w:rsid w:val="003256B5"/>
    <w:rsid w:val="0033490E"/>
    <w:rsid w:val="00336B06"/>
    <w:rsid w:val="00342FC0"/>
    <w:rsid w:val="00343FC3"/>
    <w:rsid w:val="00346D81"/>
    <w:rsid w:val="00352876"/>
    <w:rsid w:val="003679B2"/>
    <w:rsid w:val="00372052"/>
    <w:rsid w:val="0037600B"/>
    <w:rsid w:val="00380CE2"/>
    <w:rsid w:val="0038186D"/>
    <w:rsid w:val="0038448F"/>
    <w:rsid w:val="0039224D"/>
    <w:rsid w:val="0039634A"/>
    <w:rsid w:val="003973CA"/>
    <w:rsid w:val="003A144A"/>
    <w:rsid w:val="003B6368"/>
    <w:rsid w:val="003C11E5"/>
    <w:rsid w:val="003D3AD3"/>
    <w:rsid w:val="003E0B51"/>
    <w:rsid w:val="003E102F"/>
    <w:rsid w:val="003E2C4F"/>
    <w:rsid w:val="003E2E54"/>
    <w:rsid w:val="003E694F"/>
    <w:rsid w:val="003F0497"/>
    <w:rsid w:val="003F5148"/>
    <w:rsid w:val="00416576"/>
    <w:rsid w:val="0042029A"/>
    <w:rsid w:val="00421737"/>
    <w:rsid w:val="00432157"/>
    <w:rsid w:val="0043352B"/>
    <w:rsid w:val="0043386D"/>
    <w:rsid w:val="00434A5F"/>
    <w:rsid w:val="00436E0D"/>
    <w:rsid w:val="00443121"/>
    <w:rsid w:val="004465B1"/>
    <w:rsid w:val="00453C8E"/>
    <w:rsid w:val="00460497"/>
    <w:rsid w:val="00462AB7"/>
    <w:rsid w:val="00471199"/>
    <w:rsid w:val="004914BB"/>
    <w:rsid w:val="004A0E0E"/>
    <w:rsid w:val="004A577A"/>
    <w:rsid w:val="004A7BB9"/>
    <w:rsid w:val="004B635B"/>
    <w:rsid w:val="004B6644"/>
    <w:rsid w:val="004C0566"/>
    <w:rsid w:val="004C2F77"/>
    <w:rsid w:val="004D0059"/>
    <w:rsid w:val="004D3A44"/>
    <w:rsid w:val="004D3E0A"/>
    <w:rsid w:val="004D7BF5"/>
    <w:rsid w:val="004E14B0"/>
    <w:rsid w:val="004F3371"/>
    <w:rsid w:val="00522342"/>
    <w:rsid w:val="00535DFE"/>
    <w:rsid w:val="005514B7"/>
    <w:rsid w:val="00552AA3"/>
    <w:rsid w:val="00573EE5"/>
    <w:rsid w:val="005745C6"/>
    <w:rsid w:val="00577830"/>
    <w:rsid w:val="00583EFA"/>
    <w:rsid w:val="005863B2"/>
    <w:rsid w:val="00591272"/>
    <w:rsid w:val="00593CE2"/>
    <w:rsid w:val="005A3AE2"/>
    <w:rsid w:val="005B1D4F"/>
    <w:rsid w:val="005B321B"/>
    <w:rsid w:val="005B3ACF"/>
    <w:rsid w:val="005B4D6C"/>
    <w:rsid w:val="005D239D"/>
    <w:rsid w:val="005D517F"/>
    <w:rsid w:val="005E727F"/>
    <w:rsid w:val="00600EC9"/>
    <w:rsid w:val="00600FAC"/>
    <w:rsid w:val="0062274C"/>
    <w:rsid w:val="00624B71"/>
    <w:rsid w:val="006308F4"/>
    <w:rsid w:val="00632410"/>
    <w:rsid w:val="00632ADF"/>
    <w:rsid w:val="0063423D"/>
    <w:rsid w:val="00634B83"/>
    <w:rsid w:val="00635025"/>
    <w:rsid w:val="0064479E"/>
    <w:rsid w:val="00651EAD"/>
    <w:rsid w:val="00652EFE"/>
    <w:rsid w:val="00655B0D"/>
    <w:rsid w:val="006655C0"/>
    <w:rsid w:val="006661CB"/>
    <w:rsid w:val="00670C61"/>
    <w:rsid w:val="0067310A"/>
    <w:rsid w:val="00682CDB"/>
    <w:rsid w:val="006919CD"/>
    <w:rsid w:val="00691AF9"/>
    <w:rsid w:val="00692562"/>
    <w:rsid w:val="00693492"/>
    <w:rsid w:val="0069655A"/>
    <w:rsid w:val="006A05D3"/>
    <w:rsid w:val="006A2341"/>
    <w:rsid w:val="006A2B7D"/>
    <w:rsid w:val="006B0553"/>
    <w:rsid w:val="006B48AA"/>
    <w:rsid w:val="006B4B28"/>
    <w:rsid w:val="006B4C2E"/>
    <w:rsid w:val="006E2DCF"/>
    <w:rsid w:val="006E37FD"/>
    <w:rsid w:val="006E3DDA"/>
    <w:rsid w:val="006E7803"/>
    <w:rsid w:val="00712480"/>
    <w:rsid w:val="00717EC6"/>
    <w:rsid w:val="00721FE9"/>
    <w:rsid w:val="00723485"/>
    <w:rsid w:val="00723D19"/>
    <w:rsid w:val="007268A3"/>
    <w:rsid w:val="00732E12"/>
    <w:rsid w:val="0073634F"/>
    <w:rsid w:val="007463F0"/>
    <w:rsid w:val="00750AC5"/>
    <w:rsid w:val="00756178"/>
    <w:rsid w:val="007605F7"/>
    <w:rsid w:val="00760E76"/>
    <w:rsid w:val="007613BD"/>
    <w:rsid w:val="00763F7F"/>
    <w:rsid w:val="00782C37"/>
    <w:rsid w:val="00793609"/>
    <w:rsid w:val="00794F0C"/>
    <w:rsid w:val="007A72F1"/>
    <w:rsid w:val="007B04E1"/>
    <w:rsid w:val="007B28D7"/>
    <w:rsid w:val="007B41CD"/>
    <w:rsid w:val="007C524A"/>
    <w:rsid w:val="007D0CD0"/>
    <w:rsid w:val="007E1642"/>
    <w:rsid w:val="007E4EED"/>
    <w:rsid w:val="007E55A2"/>
    <w:rsid w:val="007F0245"/>
    <w:rsid w:val="007F124D"/>
    <w:rsid w:val="007F30AA"/>
    <w:rsid w:val="007F6B43"/>
    <w:rsid w:val="008047DE"/>
    <w:rsid w:val="0080517D"/>
    <w:rsid w:val="008058AF"/>
    <w:rsid w:val="008070C1"/>
    <w:rsid w:val="00811BD7"/>
    <w:rsid w:val="00821B39"/>
    <w:rsid w:val="00826602"/>
    <w:rsid w:val="00830B3F"/>
    <w:rsid w:val="00831251"/>
    <w:rsid w:val="00834EB2"/>
    <w:rsid w:val="00842FA0"/>
    <w:rsid w:val="00843711"/>
    <w:rsid w:val="00847CF5"/>
    <w:rsid w:val="00885833"/>
    <w:rsid w:val="00886BF7"/>
    <w:rsid w:val="008A0C59"/>
    <w:rsid w:val="008A6FCE"/>
    <w:rsid w:val="008B538B"/>
    <w:rsid w:val="008C01A6"/>
    <w:rsid w:val="008C0E7F"/>
    <w:rsid w:val="008C11B4"/>
    <w:rsid w:val="008C53C2"/>
    <w:rsid w:val="008D0A28"/>
    <w:rsid w:val="008D0E32"/>
    <w:rsid w:val="008E4184"/>
    <w:rsid w:val="008E4BE3"/>
    <w:rsid w:val="008E727D"/>
    <w:rsid w:val="008F41F5"/>
    <w:rsid w:val="008F70C4"/>
    <w:rsid w:val="00904AB5"/>
    <w:rsid w:val="00913E22"/>
    <w:rsid w:val="009205BA"/>
    <w:rsid w:val="009212BC"/>
    <w:rsid w:val="009403F2"/>
    <w:rsid w:val="009524C0"/>
    <w:rsid w:val="009556DD"/>
    <w:rsid w:val="00961FB6"/>
    <w:rsid w:val="00963745"/>
    <w:rsid w:val="00972BEE"/>
    <w:rsid w:val="00984179"/>
    <w:rsid w:val="0098501D"/>
    <w:rsid w:val="009866DC"/>
    <w:rsid w:val="009909BB"/>
    <w:rsid w:val="0099267E"/>
    <w:rsid w:val="009A5B91"/>
    <w:rsid w:val="009C5B31"/>
    <w:rsid w:val="009D153B"/>
    <w:rsid w:val="009D1F50"/>
    <w:rsid w:val="009F400A"/>
    <w:rsid w:val="00A02B6F"/>
    <w:rsid w:val="00A04083"/>
    <w:rsid w:val="00A11BF7"/>
    <w:rsid w:val="00A21F25"/>
    <w:rsid w:val="00A248DB"/>
    <w:rsid w:val="00A27849"/>
    <w:rsid w:val="00A30599"/>
    <w:rsid w:val="00A611F0"/>
    <w:rsid w:val="00A62451"/>
    <w:rsid w:val="00A62AE0"/>
    <w:rsid w:val="00A7204E"/>
    <w:rsid w:val="00A7280E"/>
    <w:rsid w:val="00A84985"/>
    <w:rsid w:val="00A8548A"/>
    <w:rsid w:val="00A95766"/>
    <w:rsid w:val="00A9594B"/>
    <w:rsid w:val="00A9794B"/>
    <w:rsid w:val="00AA0A2D"/>
    <w:rsid w:val="00AA127B"/>
    <w:rsid w:val="00AA34C0"/>
    <w:rsid w:val="00AB1BF8"/>
    <w:rsid w:val="00AB4911"/>
    <w:rsid w:val="00AC15A5"/>
    <w:rsid w:val="00AC44F5"/>
    <w:rsid w:val="00AD5EB0"/>
    <w:rsid w:val="00AE0447"/>
    <w:rsid w:val="00AF4150"/>
    <w:rsid w:val="00B049E2"/>
    <w:rsid w:val="00B11872"/>
    <w:rsid w:val="00B12DBB"/>
    <w:rsid w:val="00B14745"/>
    <w:rsid w:val="00B15010"/>
    <w:rsid w:val="00B21935"/>
    <w:rsid w:val="00B307AD"/>
    <w:rsid w:val="00B6556F"/>
    <w:rsid w:val="00B75E21"/>
    <w:rsid w:val="00B774E2"/>
    <w:rsid w:val="00B8514D"/>
    <w:rsid w:val="00B869CD"/>
    <w:rsid w:val="00B90562"/>
    <w:rsid w:val="00B90A80"/>
    <w:rsid w:val="00B91BE6"/>
    <w:rsid w:val="00B92BD6"/>
    <w:rsid w:val="00B97072"/>
    <w:rsid w:val="00BA5765"/>
    <w:rsid w:val="00BA6AC1"/>
    <w:rsid w:val="00BA741A"/>
    <w:rsid w:val="00BB2FB3"/>
    <w:rsid w:val="00BB31EC"/>
    <w:rsid w:val="00BB43C3"/>
    <w:rsid w:val="00BC35A3"/>
    <w:rsid w:val="00BC35F3"/>
    <w:rsid w:val="00BC515B"/>
    <w:rsid w:val="00BD16B4"/>
    <w:rsid w:val="00BD2AA5"/>
    <w:rsid w:val="00BE7B53"/>
    <w:rsid w:val="00BF095B"/>
    <w:rsid w:val="00BF3D41"/>
    <w:rsid w:val="00BF789B"/>
    <w:rsid w:val="00C014A0"/>
    <w:rsid w:val="00C07467"/>
    <w:rsid w:val="00C078D3"/>
    <w:rsid w:val="00C12582"/>
    <w:rsid w:val="00C23412"/>
    <w:rsid w:val="00C2593F"/>
    <w:rsid w:val="00C269BD"/>
    <w:rsid w:val="00C303C3"/>
    <w:rsid w:val="00C40A89"/>
    <w:rsid w:val="00C52201"/>
    <w:rsid w:val="00C5276A"/>
    <w:rsid w:val="00C55DD4"/>
    <w:rsid w:val="00C572AC"/>
    <w:rsid w:val="00C63632"/>
    <w:rsid w:val="00C7743E"/>
    <w:rsid w:val="00C80DAD"/>
    <w:rsid w:val="00C82823"/>
    <w:rsid w:val="00C830F1"/>
    <w:rsid w:val="00C83DD8"/>
    <w:rsid w:val="00C86169"/>
    <w:rsid w:val="00C95812"/>
    <w:rsid w:val="00CA36E9"/>
    <w:rsid w:val="00CB02A5"/>
    <w:rsid w:val="00CB1E4E"/>
    <w:rsid w:val="00CC1192"/>
    <w:rsid w:val="00CC2DCE"/>
    <w:rsid w:val="00CC4093"/>
    <w:rsid w:val="00CD0149"/>
    <w:rsid w:val="00CD0FA4"/>
    <w:rsid w:val="00CD11D8"/>
    <w:rsid w:val="00CD1473"/>
    <w:rsid w:val="00CD2C57"/>
    <w:rsid w:val="00CD7933"/>
    <w:rsid w:val="00CE0751"/>
    <w:rsid w:val="00CE0C72"/>
    <w:rsid w:val="00CE10F4"/>
    <w:rsid w:val="00CE1E29"/>
    <w:rsid w:val="00CE417A"/>
    <w:rsid w:val="00CE7210"/>
    <w:rsid w:val="00CE7A24"/>
    <w:rsid w:val="00CF0A42"/>
    <w:rsid w:val="00CF0EDF"/>
    <w:rsid w:val="00CF100C"/>
    <w:rsid w:val="00CF3CAB"/>
    <w:rsid w:val="00D0501B"/>
    <w:rsid w:val="00D10FE2"/>
    <w:rsid w:val="00D149A2"/>
    <w:rsid w:val="00D259C0"/>
    <w:rsid w:val="00D27F7A"/>
    <w:rsid w:val="00D32AA5"/>
    <w:rsid w:val="00D44D5F"/>
    <w:rsid w:val="00D452E0"/>
    <w:rsid w:val="00D511DF"/>
    <w:rsid w:val="00D56C7E"/>
    <w:rsid w:val="00D62F73"/>
    <w:rsid w:val="00D64439"/>
    <w:rsid w:val="00D72706"/>
    <w:rsid w:val="00D7317D"/>
    <w:rsid w:val="00D74D6E"/>
    <w:rsid w:val="00D75C46"/>
    <w:rsid w:val="00D75E3A"/>
    <w:rsid w:val="00D779C4"/>
    <w:rsid w:val="00D876AB"/>
    <w:rsid w:val="00DA0BA8"/>
    <w:rsid w:val="00DB0AAF"/>
    <w:rsid w:val="00DB1CE1"/>
    <w:rsid w:val="00DB5AB4"/>
    <w:rsid w:val="00DC167A"/>
    <w:rsid w:val="00DC42AA"/>
    <w:rsid w:val="00DC7607"/>
    <w:rsid w:val="00DD2FAA"/>
    <w:rsid w:val="00DE202E"/>
    <w:rsid w:val="00DE38BB"/>
    <w:rsid w:val="00DE4FC3"/>
    <w:rsid w:val="00DE6C33"/>
    <w:rsid w:val="00DE6FD8"/>
    <w:rsid w:val="00DF2481"/>
    <w:rsid w:val="00DF6B35"/>
    <w:rsid w:val="00E00D12"/>
    <w:rsid w:val="00E028DC"/>
    <w:rsid w:val="00E03571"/>
    <w:rsid w:val="00E03EBA"/>
    <w:rsid w:val="00E04958"/>
    <w:rsid w:val="00E054A9"/>
    <w:rsid w:val="00E10784"/>
    <w:rsid w:val="00E11744"/>
    <w:rsid w:val="00E14DA0"/>
    <w:rsid w:val="00E1660D"/>
    <w:rsid w:val="00E26C2C"/>
    <w:rsid w:val="00E30668"/>
    <w:rsid w:val="00E35A84"/>
    <w:rsid w:val="00E44333"/>
    <w:rsid w:val="00E62A8A"/>
    <w:rsid w:val="00E644EA"/>
    <w:rsid w:val="00E66603"/>
    <w:rsid w:val="00E7029F"/>
    <w:rsid w:val="00E83CC1"/>
    <w:rsid w:val="00E85EC4"/>
    <w:rsid w:val="00E906ED"/>
    <w:rsid w:val="00EA1079"/>
    <w:rsid w:val="00EA2CA7"/>
    <w:rsid w:val="00EC475E"/>
    <w:rsid w:val="00ED04B1"/>
    <w:rsid w:val="00ED0A61"/>
    <w:rsid w:val="00ED5D6A"/>
    <w:rsid w:val="00EE0A38"/>
    <w:rsid w:val="00EE69F6"/>
    <w:rsid w:val="00EE6E30"/>
    <w:rsid w:val="00EE7098"/>
    <w:rsid w:val="00EF4586"/>
    <w:rsid w:val="00EF6281"/>
    <w:rsid w:val="00F01278"/>
    <w:rsid w:val="00F07041"/>
    <w:rsid w:val="00F14D01"/>
    <w:rsid w:val="00F212BD"/>
    <w:rsid w:val="00F26B3E"/>
    <w:rsid w:val="00F327A3"/>
    <w:rsid w:val="00F37D98"/>
    <w:rsid w:val="00F40BA1"/>
    <w:rsid w:val="00F4431E"/>
    <w:rsid w:val="00F51FC2"/>
    <w:rsid w:val="00F5458C"/>
    <w:rsid w:val="00F54C01"/>
    <w:rsid w:val="00F60012"/>
    <w:rsid w:val="00F66A09"/>
    <w:rsid w:val="00F80DF7"/>
    <w:rsid w:val="00F84284"/>
    <w:rsid w:val="00F869CB"/>
    <w:rsid w:val="00FA3885"/>
    <w:rsid w:val="00FA7FB7"/>
    <w:rsid w:val="00FB0835"/>
    <w:rsid w:val="00FB6DDA"/>
    <w:rsid w:val="00FC4DEF"/>
    <w:rsid w:val="00FC4E08"/>
    <w:rsid w:val="00FC7857"/>
    <w:rsid w:val="00FD1FBB"/>
    <w:rsid w:val="00FD5101"/>
    <w:rsid w:val="00FD536C"/>
    <w:rsid w:val="00FF0EA6"/>
    <w:rsid w:val="00FF232B"/>
    <w:rsid w:val="00FF3167"/>
    <w:rsid w:val="00FF37A8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FF65B4E"/>
  <w15:docId w15:val="{EAF4CA48-B9B9-4938-8258-9E2894CB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DDA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025"/>
  </w:style>
  <w:style w:type="paragraph" w:styleId="Footer">
    <w:name w:val="footer"/>
    <w:basedOn w:val="Normal"/>
    <w:link w:val="FooterChar"/>
    <w:uiPriority w:val="99"/>
    <w:unhideWhenUsed/>
    <w:rsid w:val="00635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025"/>
  </w:style>
  <w:style w:type="paragraph" w:styleId="BalloonText">
    <w:name w:val="Balloon Text"/>
    <w:basedOn w:val="Normal"/>
    <w:link w:val="BalloonTextChar"/>
    <w:uiPriority w:val="99"/>
    <w:semiHidden/>
    <w:unhideWhenUsed/>
    <w:rsid w:val="000B5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7B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FF232B"/>
    <w:pPr>
      <w:tabs>
        <w:tab w:val="left" w:pos="1140"/>
      </w:tabs>
      <w:bidi/>
      <w:spacing w:before="120" w:after="120"/>
      <w:jc w:val="both"/>
    </w:pPr>
    <w:rPr>
      <w:rFonts w:ascii="Times New Roman" w:eastAsia="Times New Roman" w:hAnsi="Times New Roman"/>
      <w:b/>
      <w:bCs/>
      <w:color w:val="00B050"/>
      <w:sz w:val="20"/>
      <w:szCs w:val="20"/>
      <w:lang w:bidi="ar-AE"/>
    </w:rPr>
  </w:style>
  <w:style w:type="table" w:styleId="TableClassic2">
    <w:name w:val="Table Classic 2"/>
    <w:basedOn w:val="TableNormal"/>
    <w:rsid w:val="00FF2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80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1D7AE9"/>
    <w:pPr>
      <w:ind w:left="720"/>
      <w:contextualSpacing/>
    </w:pPr>
  </w:style>
  <w:style w:type="table" w:styleId="TableGrid">
    <w:name w:val="Table Grid"/>
    <w:basedOn w:val="TableNormal"/>
    <w:uiPriority w:val="59"/>
    <w:rsid w:val="00632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3DD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635B"/>
    <w:rPr>
      <w:color w:val="0000FF" w:themeColor="hyperlink"/>
      <w:u w:val="single"/>
    </w:rPr>
  </w:style>
  <w:style w:type="paragraph" w:customStyle="1" w:styleId="NormalTahoma">
    <w:name w:val="Normal + Tahoma"/>
    <w:basedOn w:val="Normal"/>
    <w:rsid w:val="002B0480"/>
    <w:pPr>
      <w:bidi/>
      <w:spacing w:line="360" w:lineRule="auto"/>
      <w:ind w:left="26"/>
      <w:jc w:val="lowKashida"/>
    </w:pPr>
    <w:rPr>
      <w:rFonts w:ascii="Tahoma" w:eastAsia="Times New Roman" w:hAnsi="Tahoma" w:cs="Tahoma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CD793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D7933"/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886BF7"/>
  </w:style>
  <w:style w:type="character" w:styleId="CommentReference">
    <w:name w:val="annotation reference"/>
    <w:basedOn w:val="DefaultParagraphFont"/>
    <w:uiPriority w:val="99"/>
    <w:semiHidden/>
    <w:unhideWhenUsed/>
    <w:rsid w:val="00886BF7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886BF7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886BF7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886BF7"/>
    <w:pPr>
      <w:spacing w:after="160"/>
    </w:pPr>
    <w:rPr>
      <w:rFonts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BF7"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886BF7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886BF7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BF7"/>
    <w:rPr>
      <w:rFonts w:asciiTheme="minorHAnsi" w:hAnsiTheme="minorHAnsi" w:cstheme="minorBid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886BF7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shizzi\Desktop\&#1605;&#1572;&#1588;&#1585;&#1575;&#1578;&#1578;%20&#1575;&#1604;&#1606;&#1588;&#1585;&#15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shade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76-498D-9F34-C9D65A8D4B0D}"/>
              </c:ext>
            </c:extLst>
          </c:dPt>
          <c:dPt>
            <c:idx val="1"/>
            <c:bubble3D val="0"/>
            <c:spPr>
              <a:solidFill>
                <a:schemeClr val="accent5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B76-498D-9F34-C9D65A8D4B0D}"/>
              </c:ext>
            </c:extLst>
          </c:dPt>
          <c:dPt>
            <c:idx val="2"/>
            <c:bubble3D val="0"/>
            <c:explosion val="23"/>
            <c:spPr>
              <a:solidFill>
                <a:schemeClr val="accent5">
                  <a:shade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B76-498D-9F34-C9D65A8D4B0D}"/>
              </c:ext>
            </c:extLst>
          </c:dPt>
          <c:dPt>
            <c:idx val="3"/>
            <c:bubble3D val="0"/>
            <c:spPr>
              <a:solidFill>
                <a:schemeClr val="accent5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B76-498D-9F34-C9D65A8D4B0D}"/>
              </c:ext>
            </c:extLst>
          </c:dPt>
          <c:dPt>
            <c:idx val="4"/>
            <c:bubble3D val="0"/>
            <c:spPr>
              <a:solidFill>
                <a:schemeClr val="accent5">
                  <a:shade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B76-498D-9F34-C9D65A8D4B0D}"/>
              </c:ext>
            </c:extLst>
          </c:dPt>
          <c:dPt>
            <c:idx val="5"/>
            <c:bubble3D val="0"/>
            <c:spPr>
              <a:solidFill>
                <a:schemeClr val="accent5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B76-498D-9F34-C9D65A8D4B0D}"/>
              </c:ext>
            </c:extLst>
          </c:dPt>
          <c:dPt>
            <c:idx val="6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B76-498D-9F34-C9D65A8D4B0D}"/>
              </c:ext>
            </c:extLst>
          </c:dPt>
          <c:dPt>
            <c:idx val="7"/>
            <c:bubble3D val="0"/>
            <c:spPr>
              <a:solidFill>
                <a:schemeClr val="accent5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B76-498D-9F34-C9D65A8D4B0D}"/>
              </c:ext>
            </c:extLst>
          </c:dPt>
          <c:dPt>
            <c:idx val="8"/>
            <c:bubble3D val="0"/>
            <c:spPr>
              <a:solidFill>
                <a:schemeClr val="accent5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B76-498D-9F34-C9D65A8D4B0D}"/>
              </c:ext>
            </c:extLst>
          </c:dPt>
          <c:dPt>
            <c:idx val="9"/>
            <c:bubble3D val="0"/>
            <c:spPr>
              <a:solidFill>
                <a:schemeClr val="accent5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5B76-498D-9F34-C9D65A8D4B0D}"/>
              </c:ext>
            </c:extLst>
          </c:dPt>
          <c:dPt>
            <c:idx val="10"/>
            <c:bubble3D val="0"/>
            <c:spPr>
              <a:solidFill>
                <a:schemeClr val="accent5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5B76-498D-9F34-C9D65A8D4B0D}"/>
              </c:ext>
            </c:extLst>
          </c:dPt>
          <c:dPt>
            <c:idx val="11"/>
            <c:bubble3D val="0"/>
            <c:spPr>
              <a:solidFill>
                <a:schemeClr val="accent5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5B76-498D-9F34-C9D65A8D4B0D}"/>
              </c:ext>
            </c:extLst>
          </c:dPt>
          <c:dPt>
            <c:idx val="12"/>
            <c:bubble3D val="0"/>
            <c:spPr>
              <a:solidFill>
                <a:schemeClr val="accent5">
                  <a:tint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5B76-498D-9F34-C9D65A8D4B0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B76-498D-9F34-C9D65A8D4B0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B76-498D-9F34-C9D65A8D4B0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B76-498D-9F34-C9D65A8D4B0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B76-498D-9F34-C9D65A8D4B0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B76-498D-9F34-C9D65A8D4B0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5B76-498D-9F34-C9D65A8D4B0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5B76-498D-9F34-C9D65A8D4B0D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5B76-498D-9F34-C9D65A8D4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'المؤشرات 2017'!$B$5:$B$17</c:f>
              <c:strCache>
                <c:ptCount val="13"/>
                <c:pt idx="0">
                  <c:v>الصناعة التحويلية</c:v>
                </c:pt>
                <c:pt idx="1">
                  <c:v>التشييد</c:v>
                </c:pt>
                <c:pt idx="2">
                  <c:v>تجارة الجملة والتجزئة؛ إصلاح المركبات ذات المحركات والدراجات النارية</c:v>
                </c:pt>
                <c:pt idx="3">
                  <c:v>النقل والتخزين</c:v>
                </c:pt>
                <c:pt idx="4">
                  <c:v>أنشطة خدمات الإقامة والطعام</c:v>
                </c:pt>
                <c:pt idx="5">
                  <c:v>المعلومات والاتصالات</c:v>
                </c:pt>
                <c:pt idx="6">
                  <c:v>الأنشطة العقارية*</c:v>
                </c:pt>
                <c:pt idx="7">
                  <c:v>الأنشطة المهنية والعلمية والتقنية</c:v>
                </c:pt>
                <c:pt idx="8">
                  <c:v>أنشطة الخدمات الإدارية وخدمات الدعم</c:v>
                </c:pt>
                <c:pt idx="9">
                  <c:v>التعليم</c:v>
                </c:pt>
                <c:pt idx="10">
                  <c:v>الأنشطة في مجال صحة الإنسان والعمل الاجتماعي</c:v>
                </c:pt>
                <c:pt idx="11">
                  <c:v>الفنون والترفيه والتسلية</c:v>
                </c:pt>
                <c:pt idx="12">
                  <c:v>أنشطة الخدمات الأخرى</c:v>
                </c:pt>
              </c:strCache>
            </c:strRef>
          </c:cat>
          <c:val>
            <c:numRef>
              <c:f>'المؤشرات 2017'!$K$5:$K$17</c:f>
              <c:numCache>
                <c:formatCode>0.0%</c:formatCode>
                <c:ptCount val="13"/>
                <c:pt idx="0">
                  <c:v>0.11728679982555626</c:v>
                </c:pt>
                <c:pt idx="1">
                  <c:v>8.5497274153331804E-2</c:v>
                </c:pt>
                <c:pt idx="2">
                  <c:v>0.33030525176180558</c:v>
                </c:pt>
                <c:pt idx="3">
                  <c:v>0.14705601963075804</c:v>
                </c:pt>
                <c:pt idx="4">
                  <c:v>6.0045772024489068E-2</c:v>
                </c:pt>
                <c:pt idx="5">
                  <c:v>5.2249322893757548E-2</c:v>
                </c:pt>
                <c:pt idx="6">
                  <c:v>7.1945889456753828E-2</c:v>
                </c:pt>
                <c:pt idx="7">
                  <c:v>5.5223777360543812E-2</c:v>
                </c:pt>
                <c:pt idx="8">
                  <c:v>4.5109087641356835E-2</c:v>
                </c:pt>
                <c:pt idx="9">
                  <c:v>9.7363241799599473E-3</c:v>
                </c:pt>
                <c:pt idx="10">
                  <c:v>1.405068803232531E-2</c:v>
                </c:pt>
                <c:pt idx="11">
                  <c:v>5.5095747276787963E-3</c:v>
                </c:pt>
                <c:pt idx="12">
                  <c:v>5.9842183116832455E-3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B76-498D-9F34-C9D65A8D4B0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6666666666666666E-2"/>
          <c:y val="8.6191309419655898E-3"/>
          <c:w val="0.33126815398075243"/>
          <c:h val="0.98322470107903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'المؤشرات 2017'!$B$5:$B$17</c:f>
              <c:strCache>
                <c:ptCount val="13"/>
                <c:pt idx="0">
                  <c:v>الصناعة التحويلية</c:v>
                </c:pt>
                <c:pt idx="1">
                  <c:v>التشييد</c:v>
                </c:pt>
                <c:pt idx="2">
                  <c:v>تجارة الجملة والتجزئة؛ إصلاح المركبات ذات المحركات والدراجات النارية</c:v>
                </c:pt>
                <c:pt idx="3">
                  <c:v>النقل والتخزين</c:v>
                </c:pt>
                <c:pt idx="4">
                  <c:v>أنشطة خدمات الإقامة والطعام</c:v>
                </c:pt>
                <c:pt idx="5">
                  <c:v>المعلومات والاتصالات</c:v>
                </c:pt>
                <c:pt idx="6">
                  <c:v>الأنشطة العقارية*</c:v>
                </c:pt>
                <c:pt idx="7">
                  <c:v>الأنشطة المهنية والعلمية والتقنية</c:v>
                </c:pt>
                <c:pt idx="8">
                  <c:v>أنشطة الخدمات الإدارية وخدمات الدعم</c:v>
                </c:pt>
                <c:pt idx="9">
                  <c:v>التعليم</c:v>
                </c:pt>
                <c:pt idx="10">
                  <c:v>الأنشطة في مجال صحة الإنسان والعمل الاجتماعي</c:v>
                </c:pt>
                <c:pt idx="11">
                  <c:v>الفنون والترفيه والتسلية</c:v>
                </c:pt>
                <c:pt idx="12">
                  <c:v>أنشطة الخدمات الأخرى</c:v>
                </c:pt>
              </c:strCache>
            </c:strRef>
          </c:cat>
          <c:val>
            <c:numRef>
              <c:f>'المؤشرات 2017'!$E$5:$E$17</c:f>
              <c:numCache>
                <c:formatCode>#,##0</c:formatCode>
                <c:ptCount val="13"/>
                <c:pt idx="0">
                  <c:v>135376.17435409123</c:v>
                </c:pt>
                <c:pt idx="1">
                  <c:v>78198.883934317142</c:v>
                </c:pt>
                <c:pt idx="2">
                  <c:v>169233.51967007556</c:v>
                </c:pt>
                <c:pt idx="3">
                  <c:v>144535.6395163064</c:v>
                </c:pt>
                <c:pt idx="4">
                  <c:v>42097.722822496413</c:v>
                </c:pt>
                <c:pt idx="5">
                  <c:v>31497.560056263006</c:v>
                </c:pt>
                <c:pt idx="6">
                  <c:v>34409.219810308226</c:v>
                </c:pt>
                <c:pt idx="7">
                  <c:v>30179.538510541053</c:v>
                </c:pt>
                <c:pt idx="8">
                  <c:v>23380.116752671474</c:v>
                </c:pt>
                <c:pt idx="9">
                  <c:v>4479.1119349171968</c:v>
                </c:pt>
                <c:pt idx="10">
                  <c:v>8622.3019411311561</c:v>
                </c:pt>
                <c:pt idx="11">
                  <c:v>3254.1150756392663</c:v>
                </c:pt>
                <c:pt idx="12">
                  <c:v>3405.6609411282052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F-4AB8-8350-0FE93C1C1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2"/>
        <c:axId val="980685376"/>
        <c:axId val="980681632"/>
      </c:barChart>
      <c:catAx>
        <c:axId val="980685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AE">
                    <a:solidFill>
                      <a:schemeClr val="tx2">
                        <a:lumMod val="50000"/>
                      </a:schemeClr>
                    </a:solidFill>
                  </a:rPr>
                  <a:t>الانشطة الاقتصادية</a:t>
                </a:r>
                <a:endParaRPr lang="en-US">
                  <a:solidFill>
                    <a:schemeClr val="tx2">
                      <a:lumMod val="50000"/>
                    </a:schemeClr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2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1F497D">
                <a:lumMod val="75000"/>
              </a:srgb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980681632"/>
        <c:crosses val="autoZero"/>
        <c:auto val="1"/>
        <c:lblAlgn val="ctr"/>
        <c:lblOffset val="100"/>
        <c:noMultiLvlLbl val="0"/>
      </c:catAx>
      <c:valAx>
        <c:axId val="9806816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AE">
                    <a:solidFill>
                      <a:schemeClr val="tx2">
                        <a:lumMod val="50000"/>
                      </a:schemeClr>
                    </a:solidFill>
                  </a:rPr>
                  <a:t>الانتاج</a:t>
                </a:r>
                <a:endParaRPr lang="en-US">
                  <a:solidFill>
                    <a:schemeClr val="tx2">
                      <a:lumMod val="50000"/>
                    </a:schemeClr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2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rgbClr val="4F81BD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0685376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3245363369313936"/>
          <c:y val="0.16898238865180018"/>
          <c:w val="0.34609810363108584"/>
          <c:h val="0.797875017531205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5">
                      <a:shade val="40000"/>
                      <a:lumMod val="60000"/>
                      <a:lumOff val="40000"/>
                    </a:schemeClr>
                  </a:gs>
                  <a:gs pos="0">
                    <a:schemeClr val="accent5">
                      <a:shade val="4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95-4F7E-A2D8-E95A0463D32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shade val="50000"/>
                      <a:lumMod val="60000"/>
                      <a:lumOff val="40000"/>
                    </a:schemeClr>
                  </a:gs>
                  <a:gs pos="0">
                    <a:schemeClr val="accent5">
                      <a:shade val="5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95-4F7E-A2D8-E95A0463D329}"/>
              </c:ext>
            </c:extLst>
          </c:dPt>
          <c:dPt>
            <c:idx val="2"/>
            <c:bubble3D val="0"/>
            <c:explosion val="9"/>
            <c:spPr>
              <a:gradFill>
                <a:gsLst>
                  <a:gs pos="100000">
                    <a:schemeClr val="accent5">
                      <a:shade val="60000"/>
                      <a:lumMod val="60000"/>
                      <a:lumOff val="40000"/>
                    </a:schemeClr>
                  </a:gs>
                  <a:gs pos="0">
                    <a:schemeClr val="accent5">
                      <a:shade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95-4F7E-A2D8-E95A0463D329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5">
                      <a:shade val="70000"/>
                      <a:lumMod val="60000"/>
                      <a:lumOff val="40000"/>
                    </a:schemeClr>
                  </a:gs>
                  <a:gs pos="0">
                    <a:schemeClr val="accent5">
                      <a:shade val="7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F95-4F7E-A2D8-E95A0463D329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shade val="80000"/>
                      <a:lumMod val="60000"/>
                      <a:lumOff val="40000"/>
                    </a:schemeClr>
                  </a:gs>
                  <a:gs pos="0">
                    <a:schemeClr val="accent5">
                      <a:shade val="8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F95-4F7E-A2D8-E95A0463D329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5">
                      <a:shade val="90000"/>
                      <a:lumMod val="60000"/>
                      <a:lumOff val="40000"/>
                    </a:schemeClr>
                  </a:gs>
                  <a:gs pos="0">
                    <a:schemeClr val="accent5">
                      <a:shade val="9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F95-4F7E-A2D8-E95A0463D329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F95-4F7E-A2D8-E95A0463D329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5">
                      <a:tint val="90000"/>
                      <a:lumMod val="60000"/>
                      <a:lumOff val="40000"/>
                    </a:schemeClr>
                  </a:gs>
                  <a:gs pos="0">
                    <a:schemeClr val="accent5">
                      <a:tint val="9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F95-4F7E-A2D8-E95A0463D329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5">
                      <a:tint val="80000"/>
                      <a:lumMod val="60000"/>
                      <a:lumOff val="40000"/>
                    </a:schemeClr>
                  </a:gs>
                  <a:gs pos="0">
                    <a:schemeClr val="accent5">
                      <a:tint val="8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2F95-4F7E-A2D8-E95A0463D329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5">
                      <a:tint val="70000"/>
                      <a:lumMod val="60000"/>
                      <a:lumOff val="40000"/>
                    </a:schemeClr>
                  </a:gs>
                  <a:gs pos="0">
                    <a:schemeClr val="accent5">
                      <a:tint val="7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2F95-4F7E-A2D8-E95A0463D329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tint val="60000"/>
                      <a:lumMod val="60000"/>
                      <a:lumOff val="40000"/>
                    </a:schemeClr>
                  </a:gs>
                  <a:gs pos="0">
                    <a:schemeClr val="accent5">
                      <a:tint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2F95-4F7E-A2D8-E95A0463D329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5">
                      <a:tint val="50000"/>
                      <a:lumMod val="60000"/>
                      <a:lumOff val="40000"/>
                    </a:schemeClr>
                  </a:gs>
                  <a:gs pos="0">
                    <a:schemeClr val="accent5">
                      <a:tint val="5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2F95-4F7E-A2D8-E95A0463D329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5">
                      <a:tint val="40000"/>
                      <a:lumMod val="60000"/>
                      <a:lumOff val="40000"/>
                    </a:schemeClr>
                  </a:gs>
                  <a:gs pos="0">
                    <a:schemeClr val="accent5">
                      <a:tint val="4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2F95-4F7E-A2D8-E95A0463D3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الانتاج!$B$4:$B$16</c:f>
              <c:strCache>
                <c:ptCount val="13"/>
                <c:pt idx="0">
                  <c:v>الصناعة التحويلية</c:v>
                </c:pt>
                <c:pt idx="1">
                  <c:v>التشييد</c:v>
                </c:pt>
                <c:pt idx="2">
                  <c:v>تجارة الجملة والتجزئة؛ إصلاح المركبات ذات المحركات والدراجات النارية</c:v>
                </c:pt>
                <c:pt idx="3">
                  <c:v>النقل والتخزين</c:v>
                </c:pt>
                <c:pt idx="4">
                  <c:v>أنشطة خدمات الإقامة والطعام</c:v>
                </c:pt>
                <c:pt idx="5">
                  <c:v>المعلومات والاتصالات</c:v>
                </c:pt>
                <c:pt idx="6">
                  <c:v>الأنشطة العقارية*</c:v>
                </c:pt>
                <c:pt idx="7">
                  <c:v>الأنشطة المهنية والعلمية والتقنية</c:v>
                </c:pt>
                <c:pt idx="8">
                  <c:v>أنشطة الخدمات الإدارية وخدمات الدعم</c:v>
                </c:pt>
                <c:pt idx="9">
                  <c:v>التعليم</c:v>
                </c:pt>
                <c:pt idx="10">
                  <c:v>الأنشطة في مجال صحة الإنسان والعمل الاجتماعي</c:v>
                </c:pt>
                <c:pt idx="11">
                  <c:v>الفنون والترفيه والتسلية</c:v>
                </c:pt>
                <c:pt idx="12">
                  <c:v>أنشطة الخدمات الأخرى</c:v>
                </c:pt>
              </c:strCache>
            </c:strRef>
          </c:cat>
          <c:val>
            <c:numRef>
              <c:f>الانتاج!$E$4:$E$16</c:f>
              <c:numCache>
                <c:formatCode>0.0%</c:formatCode>
                <c:ptCount val="13"/>
                <c:pt idx="0">
                  <c:v>0.19102862741535095</c:v>
                </c:pt>
                <c:pt idx="1">
                  <c:v>0.11034604526725933</c:v>
                </c:pt>
                <c:pt idx="2">
                  <c:v>0.23880455426879424</c:v>
                </c:pt>
                <c:pt idx="3">
                  <c:v>0.20395350187088182</c:v>
                </c:pt>
                <c:pt idx="4">
                  <c:v>5.9403881417560152E-2</c:v>
                </c:pt>
                <c:pt idx="5">
                  <c:v>4.4446045939683237E-2</c:v>
                </c:pt>
                <c:pt idx="6">
                  <c:v>4.8554674130497279E-2</c:v>
                </c:pt>
                <c:pt idx="7">
                  <c:v>4.2586192475922574E-2</c:v>
                </c:pt>
                <c:pt idx="8">
                  <c:v>3.2991563200711088E-2</c:v>
                </c:pt>
                <c:pt idx="9">
                  <c:v>6.3204519484272928E-3</c:v>
                </c:pt>
                <c:pt idx="10">
                  <c:v>1.2166886180922895E-2</c:v>
                </c:pt>
                <c:pt idx="11">
                  <c:v>4.591865144046919E-3</c:v>
                </c:pt>
                <c:pt idx="12">
                  <c:v>4.8057107399425642E-3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F95-4F7E-A2D8-E95A0463D32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4625228519195612E-2"/>
          <c:y val="0"/>
          <c:w val="0.41051502668126755"/>
          <c:h val="0.9857260699555412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7051185286217543"/>
          <c:y val="9.0639330461050854E-2"/>
          <c:w val="0.34526961357553076"/>
          <c:h val="0.88061189321031841"/>
        </c:manualLayout>
      </c:layout>
      <c:pieChart>
        <c:varyColors val="1"/>
        <c:ser>
          <c:idx val="0"/>
          <c:order val="0"/>
          <c:tx>
            <c:strRef>
              <c:f>'المؤشرات 2017'!$H$4</c:f>
              <c:strCache>
                <c:ptCount val="1"/>
                <c:pt idx="0">
                  <c:v>نسبة مساهمة مستلزمات الإنتاج</c:v>
                </c:pt>
              </c:strCache>
            </c:strRef>
          </c:tx>
          <c:explosion val="14"/>
          <c:dPt>
            <c:idx val="0"/>
            <c:bubble3D val="0"/>
            <c:spPr>
              <a:solidFill>
                <a:schemeClr val="accent5">
                  <a:shade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3FC-4F50-BA96-172E4B898C74}"/>
              </c:ext>
            </c:extLst>
          </c:dPt>
          <c:dPt>
            <c:idx val="1"/>
            <c:bubble3D val="0"/>
            <c:spPr>
              <a:solidFill>
                <a:schemeClr val="accent5">
                  <a:shade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3FC-4F50-BA96-172E4B898C74}"/>
              </c:ext>
            </c:extLst>
          </c:dPt>
          <c:dPt>
            <c:idx val="2"/>
            <c:bubble3D val="0"/>
            <c:spPr>
              <a:solidFill>
                <a:schemeClr val="accent5">
                  <a:shade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3FC-4F50-BA96-172E4B898C74}"/>
              </c:ext>
            </c:extLst>
          </c:dPt>
          <c:dPt>
            <c:idx val="3"/>
            <c:bubble3D val="0"/>
            <c:spPr>
              <a:solidFill>
                <a:schemeClr val="accent5">
                  <a:shade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3FC-4F50-BA96-172E4B898C74}"/>
              </c:ext>
            </c:extLst>
          </c:dPt>
          <c:dPt>
            <c:idx val="4"/>
            <c:bubble3D val="0"/>
            <c:spPr>
              <a:solidFill>
                <a:schemeClr val="accent5">
                  <a:shade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3FC-4F50-BA96-172E4B898C74}"/>
              </c:ext>
            </c:extLst>
          </c:dPt>
          <c:dPt>
            <c:idx val="5"/>
            <c:bubble3D val="0"/>
            <c:spPr>
              <a:solidFill>
                <a:schemeClr val="accent5">
                  <a:shade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3FC-4F50-BA96-172E4B898C74}"/>
              </c:ext>
            </c:extLst>
          </c:dPt>
          <c:dPt>
            <c:idx val="6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3FC-4F50-BA96-172E4B898C74}"/>
              </c:ext>
            </c:extLst>
          </c:dPt>
          <c:dPt>
            <c:idx val="7"/>
            <c:bubble3D val="0"/>
            <c:spPr>
              <a:solidFill>
                <a:schemeClr val="accent5">
                  <a:tint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B3FC-4F50-BA96-172E4B898C74}"/>
              </c:ext>
            </c:extLst>
          </c:dPt>
          <c:dPt>
            <c:idx val="8"/>
            <c:bubble3D val="0"/>
            <c:spPr>
              <a:solidFill>
                <a:schemeClr val="accent5">
                  <a:tint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B3FC-4F50-BA96-172E4B898C74}"/>
              </c:ext>
            </c:extLst>
          </c:dPt>
          <c:dPt>
            <c:idx val="9"/>
            <c:bubble3D val="0"/>
            <c:spPr>
              <a:solidFill>
                <a:schemeClr val="accent5">
                  <a:tint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B3FC-4F50-BA96-172E4B898C74}"/>
              </c:ext>
            </c:extLst>
          </c:dPt>
          <c:dPt>
            <c:idx val="10"/>
            <c:bubble3D val="0"/>
            <c:spPr>
              <a:solidFill>
                <a:schemeClr val="accent5">
                  <a:tint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B3FC-4F50-BA96-172E4B898C74}"/>
              </c:ext>
            </c:extLst>
          </c:dPt>
          <c:dPt>
            <c:idx val="11"/>
            <c:bubble3D val="0"/>
            <c:spPr>
              <a:solidFill>
                <a:schemeClr val="accent5">
                  <a:tint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B3FC-4F50-BA96-172E4B898C74}"/>
              </c:ext>
            </c:extLst>
          </c:dPt>
          <c:dPt>
            <c:idx val="12"/>
            <c:bubble3D val="0"/>
            <c:spPr>
              <a:solidFill>
                <a:schemeClr val="accent5">
                  <a:tint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B3FC-4F50-BA96-172E4B898C7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>
                  <a:glow rad="76200">
                    <a:srgbClr val="4F81BD">
                      <a:alpha val="40000"/>
                    </a:srgbClr>
                  </a:glo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3FC-4F50-BA96-172E4B898C7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>
                  <a:glow rad="76200">
                    <a:srgbClr val="4F81BD">
                      <a:alpha val="40000"/>
                    </a:srgbClr>
                  </a:glo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3FC-4F50-BA96-172E4B898C7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>
                  <a:glow rad="76200">
                    <a:srgbClr val="4F81BD">
                      <a:alpha val="40000"/>
                    </a:srgbClr>
                  </a:glo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3FC-4F50-BA96-172E4B898C7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>
                  <a:glow rad="76200">
                    <a:srgbClr val="4F81BD">
                      <a:alpha val="40000"/>
                    </a:srgbClr>
                  </a:glo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3FC-4F50-BA96-172E4B898C74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>
                  <a:glow rad="76200">
                    <a:srgbClr val="4F81BD">
                      <a:alpha val="40000"/>
                    </a:srgbClr>
                  </a:glo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3FC-4F50-BA96-172E4B898C74}"/>
                </c:ext>
              </c:extLst>
            </c:dLbl>
            <c:spPr>
              <a:noFill/>
              <a:ln>
                <a:noFill/>
              </a:ln>
              <a:effectLst>
                <a:glow rad="76200">
                  <a:srgbClr val="4F81BD">
                    <a:alpha val="40000"/>
                  </a:srgbClr>
                </a:glo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'المؤشرات 2017'!$B$5:$B$17</c:f>
              <c:strCache>
                <c:ptCount val="13"/>
                <c:pt idx="0">
                  <c:v>الصناعة التحويلية</c:v>
                </c:pt>
                <c:pt idx="1">
                  <c:v>التشييد</c:v>
                </c:pt>
                <c:pt idx="2">
                  <c:v>تجارة الجملة والتجزئة؛ إصلاح المركبات ذات المحركات والدراجات النارية</c:v>
                </c:pt>
                <c:pt idx="3">
                  <c:v>النقل والتخزين</c:v>
                </c:pt>
                <c:pt idx="4">
                  <c:v>أنشطة خدمات الإقامة والطعام</c:v>
                </c:pt>
                <c:pt idx="5">
                  <c:v>المعلومات والاتصالات</c:v>
                </c:pt>
                <c:pt idx="6">
                  <c:v>الأنشطة العقارية*</c:v>
                </c:pt>
                <c:pt idx="7">
                  <c:v>الأنشطة المهنية والعلمية والتقنية</c:v>
                </c:pt>
                <c:pt idx="8">
                  <c:v>أنشطة الخدمات الإدارية وخدمات الدعم</c:v>
                </c:pt>
                <c:pt idx="9">
                  <c:v>التعليم</c:v>
                </c:pt>
                <c:pt idx="10">
                  <c:v>الأنشطة في مجال صحة الإنسان والعمل الاجتماعي</c:v>
                </c:pt>
                <c:pt idx="11">
                  <c:v>الفنون والترفيه والتسلية</c:v>
                </c:pt>
                <c:pt idx="12">
                  <c:v>أنشطة الخدمات الأخرى</c:v>
                </c:pt>
              </c:strCache>
            </c:strRef>
          </c:cat>
          <c:val>
            <c:numRef>
              <c:f>'المؤشرات 2017'!$H$5:$H$17</c:f>
              <c:numCache>
                <c:formatCode>0.0%</c:formatCode>
                <c:ptCount val="13"/>
                <c:pt idx="0">
                  <c:v>0.25488385289718224</c:v>
                </c:pt>
                <c:pt idx="1">
                  <c:v>0.13186332974863613</c:v>
                </c:pt>
                <c:pt idx="2">
                  <c:v>0.1595713990686958</c:v>
                </c:pt>
                <c:pt idx="3">
                  <c:v>0.25322271144352865</c:v>
                </c:pt>
                <c:pt idx="4">
                  <c:v>5.8848049391425433E-2</c:v>
                </c:pt>
                <c:pt idx="5">
                  <c:v>3.7688958060448849E-2</c:v>
                </c:pt>
                <c:pt idx="6">
                  <c:v>2.8299530234946628E-2</c:v>
                </c:pt>
                <c:pt idx="7">
                  <c:v>3.1642934643444448E-2</c:v>
                </c:pt>
                <c:pt idx="8">
                  <c:v>2.2498641059653112E-2</c:v>
                </c:pt>
                <c:pt idx="9">
                  <c:v>3.4032552929741042E-3</c:v>
                </c:pt>
                <c:pt idx="10">
                  <c:v>1.049493859345702E-2</c:v>
                </c:pt>
                <c:pt idx="11">
                  <c:v>3.7971933233859278E-3</c:v>
                </c:pt>
                <c:pt idx="12">
                  <c:v>3.7852062422216348E-3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3FC-4F50-BA96-172E4B898C7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2752391073326248E-2"/>
          <c:y val="2.4800673500718073E-2"/>
          <c:w val="0.29581396905620594"/>
          <c:h val="0.975199326499281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63707399170524"/>
          <c:y val="5.2194543297746143E-2"/>
          <c:w val="0.89836287624733335"/>
          <c:h val="0.397572225180037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'المؤشرات 2017'!$H$4</c:f>
              <c:strCache>
                <c:ptCount val="1"/>
                <c:pt idx="0">
                  <c:v>التكوين الراسمالي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'المؤشرات 2017'!$B$5:$B$17</c:f>
              <c:strCache>
                <c:ptCount val="13"/>
                <c:pt idx="0">
                  <c:v>الصناعة التحويلية</c:v>
                </c:pt>
                <c:pt idx="1">
                  <c:v>التشييد</c:v>
                </c:pt>
                <c:pt idx="2">
                  <c:v>تجارة الجملة والتجزئة؛ إصلاح المركبات ذات المحركات والدراجات النارية</c:v>
                </c:pt>
                <c:pt idx="3">
                  <c:v>النقل والتخزين</c:v>
                </c:pt>
                <c:pt idx="4">
                  <c:v>أنشطة خدمات الإقامة والطعام</c:v>
                </c:pt>
                <c:pt idx="5">
                  <c:v>المعلومات والاتصالات</c:v>
                </c:pt>
                <c:pt idx="6">
                  <c:v>الأنشطة العقارية*</c:v>
                </c:pt>
                <c:pt idx="7">
                  <c:v>الأنشطة المهنية والعلمية والتقنية</c:v>
                </c:pt>
                <c:pt idx="8">
                  <c:v>أنشطة الخدمات الإدارية وخدمات الدعم</c:v>
                </c:pt>
                <c:pt idx="9">
                  <c:v>التعليم</c:v>
                </c:pt>
                <c:pt idx="10">
                  <c:v>الأنشطة في مجال صحة الإنسان والعمل الاجتماعي</c:v>
                </c:pt>
                <c:pt idx="11">
                  <c:v>الفنون والترفيه والتسلية</c:v>
                </c:pt>
                <c:pt idx="12">
                  <c:v>أنشطة الخدمات الأخرى</c:v>
                </c:pt>
              </c:strCache>
            </c:strRef>
          </c:cat>
          <c:val>
            <c:numRef>
              <c:f>'المؤشرات 2017'!$H$5:$H$17</c:f>
              <c:numCache>
                <c:formatCode>#,##0.0</c:formatCode>
                <c:ptCount val="13"/>
                <c:pt idx="0">
                  <c:v>6332.1002602138096</c:v>
                </c:pt>
                <c:pt idx="1">
                  <c:v>3506.9552180191326</c:v>
                </c:pt>
                <c:pt idx="2">
                  <c:v>12611.207576674091</c:v>
                </c:pt>
                <c:pt idx="3">
                  <c:v>7083.8727833462508</c:v>
                </c:pt>
                <c:pt idx="4">
                  <c:v>2141.9982863605887</c:v>
                </c:pt>
                <c:pt idx="5">
                  <c:v>3107.701475618238</c:v>
                </c:pt>
                <c:pt idx="6">
                  <c:v>10477.64908427716</c:v>
                </c:pt>
                <c:pt idx="7">
                  <c:v>611.03902757394883</c:v>
                </c:pt>
                <c:pt idx="8">
                  <c:v>2850.1470434511884</c:v>
                </c:pt>
                <c:pt idx="9">
                  <c:v>1733.1705925206236</c:v>
                </c:pt>
                <c:pt idx="10">
                  <c:v>360.87266262046541</c:v>
                </c:pt>
                <c:pt idx="11">
                  <c:v>388.35628953120766</c:v>
                </c:pt>
                <c:pt idx="12">
                  <c:v>73.062229512805587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0-AD8B-436E-93BC-34E5FB6E01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4474864"/>
        <c:axId val="334468624"/>
        <c:axId val="0"/>
      </c:bar3DChart>
      <c:catAx>
        <c:axId val="334474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AE">
                    <a:solidFill>
                      <a:schemeClr val="tx2">
                        <a:lumMod val="50000"/>
                      </a:schemeClr>
                    </a:solidFill>
                  </a:rPr>
                  <a:t>الانشطة الاقتصادية</a:t>
                </a:r>
                <a:endParaRPr lang="en-US">
                  <a:solidFill>
                    <a:schemeClr val="tx2">
                      <a:lumMod val="50000"/>
                    </a:schemeClr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2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5400000" spcFirstLastPara="1" vertOverflow="ellipsis" wrap="square" anchor="ctr" anchorCtr="0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34468624"/>
        <c:crosses val="autoZero"/>
        <c:auto val="0"/>
        <c:lblAlgn val="ctr"/>
        <c:lblOffset val="100"/>
        <c:noMultiLvlLbl val="0"/>
      </c:catAx>
      <c:valAx>
        <c:axId val="33446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AE">
                    <a:solidFill>
                      <a:schemeClr val="tx2">
                        <a:lumMod val="50000"/>
                      </a:schemeClr>
                    </a:solidFill>
                  </a:rPr>
                  <a:t>التكوين الراسمالي</a:t>
                </a:r>
                <a:endParaRPr lang="en-US">
                  <a:solidFill>
                    <a:schemeClr val="tx2">
                      <a:lumMod val="50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2.5180635571879568E-2"/>
              <c:y val="0.123636805185828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2">
                      <a:lumMod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solidFill>
              <a:srgbClr val="1F497D">
                <a:lumMod val="75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474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955ED55C81844FB07E57490968F304" ma:contentTypeVersion="22" ma:contentTypeDescription="Create a new document." ma:contentTypeScope="" ma:versionID="09f2d48b8ddaed9beeba359862cafdb6">
  <xsd:schema xmlns:xsd="http://www.w3.org/2001/XMLSchema" xmlns:xs="http://www.w3.org/2001/XMLSchema" xmlns:p="http://schemas.microsoft.com/office/2006/metadata/properties" xmlns:ns2="9a92dbd9-a54a-4f24-abd0-cd6bb0e6298c" xmlns:ns3="efdc1f75-e914-47be-a131-c6af99871045" targetNamespace="http://schemas.microsoft.com/office/2006/metadata/properties" ma:root="true" ma:fieldsID="560c832f518ff687ae65ca3fec2e6c76" ns2:_="" ns3:_="">
    <xsd:import namespace="9a92dbd9-a54a-4f24-abd0-cd6bb0e6298c"/>
    <xsd:import namespace="efdc1f75-e914-47be-a131-c6af99871045"/>
    <xsd:element name="properties">
      <xsd:complexType>
        <xsd:sequence>
          <xsd:element name="documentManagement">
            <xsd:complexType>
              <xsd:all>
                <xsd:element ref="ns2:Title_x0020_Ar"/>
                <xsd:element ref="ns2:Sub_x0020_Category"/>
                <xsd:element ref="ns3:Thumbnail_x0020_Image" minOccurs="0"/>
                <xsd:element ref="ns2:Publishing_x0020_Date"/>
                <xsd:element ref="ns2:Publishing_x0020_Year"/>
                <xsd:element ref="ns2:Quarter" minOccurs="0"/>
                <xsd:element ref="ns2:Topic" minOccurs="0"/>
                <xsd:element ref="ns2:Language"/>
                <xsd:element ref="ns2:Description0" minOccurs="0"/>
                <xsd:element ref="ns2:Description_AR" minOccurs="0"/>
                <xsd:element ref="ns2:Chapter" minOccurs="0"/>
                <xsd:element ref="ns2:Order0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2dbd9-a54a-4f24-abd0-cd6bb0e6298c" elementFormDefault="qualified">
    <xsd:import namespace="http://schemas.microsoft.com/office/2006/documentManagement/types"/>
    <xsd:import namespace="http://schemas.microsoft.com/office/infopath/2007/PartnerControls"/>
    <xsd:element name="Title_x0020_Ar" ma:index="4" ma:displayName="Title Ar" ma:internalName="Title_x0020_Ar" ma:readOnly="false">
      <xsd:simpleType>
        <xsd:restriction base="dms:Text">
          <xsd:maxLength value="255"/>
        </xsd:restriction>
      </xsd:simpleType>
    </xsd:element>
    <xsd:element name="Sub_x0020_Category" ma:index="5" ma:displayName="Sub Category" ma:list="{da201a9f-eb71-4f58-95dc-07a9bab35ac6}" ma:internalName="Sub_x0020_Category" ma:showField="Title">
      <xsd:simpleType>
        <xsd:restriction base="dms:Lookup"/>
      </xsd:simpleType>
    </xsd:element>
    <xsd:element name="Publishing_x0020_Date" ma:index="7" ma:displayName="Publishing Date" ma:format="DateOnly" ma:internalName="Publishing_x0020_Date" ma:readOnly="false">
      <xsd:simpleType>
        <xsd:restriction base="dms:DateTime"/>
      </xsd:simpleType>
    </xsd:element>
    <xsd:element name="Publishing_x0020_Year" ma:index="8" ma:displayName="Publishing Year" ma:internalName="Publishing_x0020_Year" ma:readOnly="false">
      <xsd:simpleType>
        <xsd:restriction base="dms:Text">
          <xsd:maxLength value="4"/>
        </xsd:restriction>
      </xsd:simpleType>
    </xsd:element>
    <xsd:element name="Quarter" ma:index="9" nillable="true" ma:displayName="Quarter" ma:list="{b423fb66-77db-4546-aea0-0c832e093c12}" ma:internalName="Quart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10" nillable="true" ma:displayName="Topic" ma:list="{f52f4880-b995-4fec-9ade-cf7b640ed3fa}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nguage" ma:index="11" ma:displayName="Language" ma:default="Both" ma:format="Dropdown" ma:internalName="Language">
      <xsd:simpleType>
        <xsd:restriction base="dms:Choice">
          <xsd:enumeration value="Both"/>
          <xsd:enumeration value="English"/>
          <xsd:enumeration value="Arabic"/>
        </xsd:restriction>
      </xsd:simpleType>
    </xsd:element>
    <xsd:element name="Description0" ma:index="12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Description_AR" ma:index="13" nillable="true" ma:displayName="Description_AR" ma:internalName="Description_AR" ma:readOnly="false">
      <xsd:simpleType>
        <xsd:restriction base="dms:Note">
          <xsd:maxLength value="255"/>
        </xsd:restriction>
      </xsd:simpleType>
    </xsd:element>
    <xsd:element name="Chapter" ma:index="19" nillable="true" ma:displayName="Chapter" ma:default="01" ma:format="Dropdown" ma:internalName="Chapter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</xsd:restriction>
      </xsd:simpleType>
    </xsd:element>
    <xsd:element name="Order0" ma:index="21" nillable="true" ma:displayName="Order" ma:decimals="1" ma:default="0" ma:internalName="Order0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c1f75-e914-47be-a131-c6af99871045" elementFormDefault="qualified">
    <xsd:import namespace="http://schemas.microsoft.com/office/2006/documentManagement/types"/>
    <xsd:import namespace="http://schemas.microsoft.com/office/infopath/2007/PartnerControls"/>
    <xsd:element name="Thumbnail_x0020_Image" ma:index="6" nillable="true" ma:displayName="Thumbnail Image" ma:internalName="Thumbnail_x0020_Image" ma:readOnly="false">
      <xsd:simpleType>
        <xsd:restriction base="dms:Unknow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Quarter xmlns="9a92dbd9-a54a-4f24-abd0-cd6bb0e6298c"/>
    <Topic xmlns="9a92dbd9-a54a-4f24-abd0-cd6bb0e6298c"/>
    <Publishing_x0020_Year xmlns="9a92dbd9-a54a-4f24-abd0-cd6bb0e6298c">2017</Publishing_x0020_Year>
    <Description0 xmlns="9a92dbd9-a54a-4f24-abd0-cd6bb0e6298c" xsi:nil="true"/>
    <Description_AR xmlns="9a92dbd9-a54a-4f24-abd0-cd6bb0e6298c" xsi:nil="true"/>
    <Thumbnail_x0020_Image xmlns="efdc1f75-e914-47be-a131-c6af99871045" xsi:nil="true"/>
    <Sub_x0020_Category xmlns="9a92dbd9-a54a-4f24-abd0-cd6bb0e6298c">7</Sub_x0020_Category>
    <Title_x0020_Ar xmlns="9a92dbd9-a54a-4f24-abd0-cd6bb0e6298c">نشرة المسح الاقتصادي</Title_x0020_Ar>
    <Language xmlns="9a92dbd9-a54a-4f24-abd0-cd6bb0e6298c">Arabic</Language>
    <Chapter xmlns="9a92dbd9-a54a-4f24-abd0-cd6bb0e6298c">01</Chapter>
    <Publishing_x0020_Date xmlns="9a92dbd9-a54a-4f24-abd0-cd6bb0e6298c">2017-12-30T20:00:00+00:00</Publishing_x0020_Date>
    <Order0 xmlns="9a92dbd9-a54a-4f24-abd0-cd6bb0e6298c">0</Order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AB8EE-7483-49E8-88A7-D387D8DB3981}"/>
</file>

<file path=customXml/itemProps2.xml><?xml version="1.0" encoding="utf-8"?>
<ds:datastoreItem xmlns:ds="http://schemas.openxmlformats.org/officeDocument/2006/customXml" ds:itemID="{294A5F7C-0BF3-4368-861B-C38C79BD6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1BDE5-6D19-4B8F-9677-182913DE0E21}">
  <ds:schemaRefs>
    <ds:schemaRef ds:uri="http://schemas.microsoft.com/office/2006/metadata/properties"/>
    <ds:schemaRef ds:uri="9a92dbd9-a54a-4f24-abd0-cd6bb0e6298c"/>
    <ds:schemaRef ds:uri="efdc1f75-e914-47be-a131-c6af99871045"/>
  </ds:schemaRefs>
</ds:datastoreItem>
</file>

<file path=customXml/itemProps4.xml><?xml version="1.0" encoding="utf-8"?>
<ds:datastoreItem xmlns:ds="http://schemas.openxmlformats.org/officeDocument/2006/customXml" ds:itemID="{428EB6D4-1F34-4F3A-A372-92BD5E7C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6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Population Bulletin Emirate of Dubai 2018</vt:lpstr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 Survey Bulletin</dc:title>
  <dc:creator>Mohamed-Amin Osama Al Labban</dc:creator>
  <cp:lastModifiedBy>Suhair Hatem Al Izzi</cp:lastModifiedBy>
  <cp:revision>25</cp:revision>
  <cp:lastPrinted>2020-01-16T04:36:00Z</cp:lastPrinted>
  <dcterms:created xsi:type="dcterms:W3CDTF">2020-01-06T10:17:00Z</dcterms:created>
  <dcterms:modified xsi:type="dcterms:W3CDTF">2020-01-26T06:27:00Z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0x01010029955ED55C81844FB07E57490968F304</vt:lpwstr>
  </property>
</Properties>
</file>